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4B4" w:rsidRPr="00AB34B4" w:rsidRDefault="00AB34B4" w:rsidP="00AB34B4">
      <w:pPr>
        <w:spacing w:after="0" w:line="240" w:lineRule="auto"/>
        <w:jc w:val="both"/>
        <w:rPr>
          <w:rFonts w:ascii="Verdana" w:eastAsia="Times New Roman" w:hAnsi="Verdana" w:cs="Times New Roman"/>
          <w:b/>
          <w:bCs/>
          <w:color w:val="336699"/>
          <w:sz w:val="26"/>
          <w:szCs w:val="26"/>
          <w:lang w:eastAsia="fr-FR"/>
        </w:rPr>
      </w:pPr>
      <w:r w:rsidRPr="00AB34B4">
        <w:rPr>
          <w:rFonts w:ascii="Verdana" w:eastAsia="Times New Roman" w:hAnsi="Verdana" w:cs="Times New Roman"/>
          <w:b/>
          <w:bCs/>
          <w:color w:val="336699"/>
          <w:sz w:val="26"/>
          <w:szCs w:val="26"/>
          <w:lang w:eastAsia="fr-FR"/>
        </w:rPr>
        <w:t>La démarche ostéopathique</w:t>
      </w:r>
    </w:p>
    <w:p w:rsidR="00AB34B4" w:rsidRPr="00AB34B4" w:rsidRDefault="00AB34B4" w:rsidP="00AB34B4">
      <w:pPr>
        <w:spacing w:after="0" w:line="240" w:lineRule="auto"/>
        <w:jc w:val="both"/>
        <w:rPr>
          <w:rFonts w:ascii="Verdana" w:eastAsia="Times New Roman" w:hAnsi="Verdana" w:cs="Times New Roman"/>
          <w:i/>
          <w:iCs/>
          <w:color w:val="336699"/>
          <w:sz w:val="18"/>
          <w:szCs w:val="18"/>
          <w:lang w:eastAsia="fr-FR"/>
        </w:rPr>
      </w:pPr>
      <w:r w:rsidRPr="00AB34B4">
        <w:rPr>
          <w:rFonts w:ascii="Verdana" w:eastAsia="Times New Roman" w:hAnsi="Verdana" w:cs="Times New Roman"/>
          <w:i/>
          <w:iCs/>
          <w:color w:val="336699"/>
          <w:sz w:val="18"/>
          <w:szCs w:val="18"/>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bCs/>
          <w:lang w:eastAsia="fr-FR"/>
        </w:rPr>
        <w:t>Description de la démarche ostéopathique</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b/>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t>L’indication de l’ostéopathie</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xml:space="preserve">L’indication thérapeutique ostéopathique est la dysfonction somatique qui apparaît lorsque les capacités d’adaptation de l’organisme aux contraintes de la vie sont perturbées ou dépassées.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t>La nosologie ostéopathique</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Les réponses physiologiques perturbées qui peuvent affecter les patients et qui  guident la démarche thérapeutique de l’ostéopathe peuvent être regroupées selon cinq modèles.</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tabs>
          <w:tab w:val="num" w:pos="780"/>
        </w:tabs>
        <w:spacing w:after="0" w:line="240" w:lineRule="auto"/>
        <w:ind w:left="780" w:hanging="360"/>
        <w:jc w:val="both"/>
        <w:rPr>
          <w:rFonts w:ascii="Times New Roman" w:eastAsia="Times New Roman" w:hAnsi="Times New Roman" w:cs="Times New Roman"/>
          <w:sz w:val="24"/>
          <w:szCs w:val="24"/>
          <w:lang w:eastAsia="fr-FR"/>
        </w:rPr>
      </w:pPr>
      <w:r w:rsidRPr="00AB34B4">
        <w:rPr>
          <w:rFonts w:ascii="Franklin Gothic Demi" w:eastAsia="Franklin Gothic Demi" w:hAnsi="Franklin Gothic Demi" w:cs="Franklin Gothic Demi"/>
          <w:lang w:eastAsia="fr-FR"/>
        </w:rPr>
        <w:t>1.</w:t>
      </w:r>
      <w:r w:rsidRPr="00AB34B4">
        <w:rPr>
          <w:rFonts w:ascii="Times New Roman" w:eastAsia="Franklin Gothic Demi" w:hAnsi="Times New Roman" w:cs="Times New Roman"/>
          <w:sz w:val="14"/>
          <w:szCs w:val="14"/>
          <w:lang w:eastAsia="fr-FR"/>
        </w:rPr>
        <w:t xml:space="preserve">      </w:t>
      </w:r>
      <w:r w:rsidRPr="00AB34B4">
        <w:rPr>
          <w:rFonts w:ascii="Franklin Gothic Book" w:eastAsia="Times New Roman" w:hAnsi="Franklin Gothic Book" w:cs="Times New Roman"/>
          <w:u w:val="single"/>
          <w:lang w:eastAsia="fr-FR"/>
        </w:rPr>
        <w:t>Le modèle biomécanique </w:t>
      </w:r>
      <w:r w:rsidRPr="00AB34B4">
        <w:rPr>
          <w:rFonts w:ascii="Franklin Gothic Book" w:eastAsia="Times New Roman" w:hAnsi="Franklin Gothic Book" w:cs="Times New Roman"/>
          <w:lang w:eastAsia="fr-FR"/>
        </w:rPr>
        <w:t>: il s’appuie sur les structures somatiques qui assurent l’équilibre et la posture de l’individu. Sa perturbation génère des compensations posturales et altère les fonctions proprioceptives et les mobilités articulaires. Elle augmente la consommation énergétique et perturbe le métabolisme.</w:t>
      </w:r>
    </w:p>
    <w:p w:rsidR="00AB34B4" w:rsidRPr="00AB34B4" w:rsidRDefault="00AB34B4" w:rsidP="00AB34B4">
      <w:pPr>
        <w:tabs>
          <w:tab w:val="num" w:pos="780"/>
        </w:tabs>
        <w:spacing w:after="0" w:line="240" w:lineRule="auto"/>
        <w:ind w:left="780" w:hanging="360"/>
        <w:jc w:val="both"/>
        <w:rPr>
          <w:rFonts w:ascii="Times New Roman" w:eastAsia="Times New Roman" w:hAnsi="Times New Roman" w:cs="Times New Roman"/>
          <w:sz w:val="24"/>
          <w:szCs w:val="24"/>
          <w:lang w:eastAsia="fr-FR"/>
        </w:rPr>
      </w:pPr>
      <w:r w:rsidRPr="00AB34B4">
        <w:rPr>
          <w:rFonts w:ascii="Franklin Gothic Demi" w:eastAsia="Franklin Gothic Demi" w:hAnsi="Franklin Gothic Demi" w:cs="Franklin Gothic Demi"/>
          <w:lang w:eastAsia="fr-FR"/>
        </w:rPr>
        <w:t>2.</w:t>
      </w:r>
      <w:r w:rsidRPr="00AB34B4">
        <w:rPr>
          <w:rFonts w:ascii="Times New Roman" w:eastAsia="Franklin Gothic Demi" w:hAnsi="Times New Roman" w:cs="Times New Roman"/>
          <w:sz w:val="14"/>
          <w:szCs w:val="14"/>
          <w:lang w:eastAsia="fr-FR"/>
        </w:rPr>
        <w:t xml:space="preserve">      </w:t>
      </w:r>
      <w:r w:rsidRPr="00AB34B4">
        <w:rPr>
          <w:rFonts w:ascii="Franklin Gothic Book" w:eastAsia="Times New Roman" w:hAnsi="Franklin Gothic Book" w:cs="Times New Roman"/>
          <w:u w:val="single"/>
          <w:lang w:eastAsia="fr-FR"/>
        </w:rPr>
        <w:t>Le modèle neurologique</w:t>
      </w:r>
      <w:r w:rsidRPr="00AB34B4">
        <w:rPr>
          <w:rFonts w:ascii="Franklin Gothic Book" w:eastAsia="Times New Roman" w:hAnsi="Franklin Gothic Book" w:cs="Times New Roman"/>
          <w:lang w:eastAsia="fr-FR"/>
        </w:rPr>
        <w:t xml:space="preserve"> : il s’appuie sur l’équilibre des fonctions neurologiques proprioceptives, végétatives et nociceptives. Sa perturbation crée une facilitation segmentaire médullaire, source de réactions </w:t>
      </w:r>
      <w:proofErr w:type="spellStart"/>
      <w:r w:rsidRPr="00AB34B4">
        <w:rPr>
          <w:rFonts w:ascii="Franklin Gothic Book" w:eastAsia="Times New Roman" w:hAnsi="Franklin Gothic Book" w:cs="Times New Roman"/>
          <w:lang w:eastAsia="fr-FR"/>
        </w:rPr>
        <w:t>neuro</w:t>
      </w:r>
      <w:proofErr w:type="spellEnd"/>
      <w:r w:rsidRPr="00AB34B4">
        <w:rPr>
          <w:rFonts w:ascii="Franklin Gothic Book" w:eastAsia="Times New Roman" w:hAnsi="Franklin Gothic Book" w:cs="Times New Roman"/>
          <w:lang w:eastAsia="fr-FR"/>
        </w:rPr>
        <w:t xml:space="preserve"> endocriniennes.</w:t>
      </w:r>
    </w:p>
    <w:p w:rsidR="00AB34B4" w:rsidRPr="00AB34B4" w:rsidRDefault="00AB34B4" w:rsidP="00AB34B4">
      <w:pPr>
        <w:tabs>
          <w:tab w:val="num" w:pos="780"/>
        </w:tabs>
        <w:spacing w:after="0" w:line="240" w:lineRule="auto"/>
        <w:ind w:left="780" w:hanging="360"/>
        <w:jc w:val="both"/>
        <w:rPr>
          <w:rFonts w:ascii="Times New Roman" w:eastAsia="Times New Roman" w:hAnsi="Times New Roman" w:cs="Times New Roman"/>
          <w:sz w:val="24"/>
          <w:szCs w:val="24"/>
          <w:lang w:eastAsia="fr-FR"/>
        </w:rPr>
      </w:pPr>
      <w:r w:rsidRPr="00AB34B4">
        <w:rPr>
          <w:rFonts w:ascii="Franklin Gothic Demi" w:eastAsia="Franklin Gothic Demi" w:hAnsi="Franklin Gothic Demi" w:cs="Franklin Gothic Demi"/>
          <w:lang w:eastAsia="fr-FR"/>
        </w:rPr>
        <w:t>3.</w:t>
      </w:r>
      <w:r w:rsidRPr="00AB34B4">
        <w:rPr>
          <w:rFonts w:ascii="Times New Roman" w:eastAsia="Franklin Gothic Demi" w:hAnsi="Times New Roman" w:cs="Times New Roman"/>
          <w:sz w:val="14"/>
          <w:szCs w:val="14"/>
          <w:lang w:eastAsia="fr-FR"/>
        </w:rPr>
        <w:t xml:space="preserve">      </w:t>
      </w:r>
      <w:r w:rsidRPr="00AB34B4">
        <w:rPr>
          <w:rFonts w:ascii="Franklin Gothic Book" w:eastAsia="Times New Roman" w:hAnsi="Franklin Gothic Book" w:cs="Times New Roman"/>
          <w:u w:val="single"/>
          <w:lang w:eastAsia="fr-FR"/>
        </w:rPr>
        <w:t>Le modèle respiratoire et circulatoire</w:t>
      </w:r>
      <w:r w:rsidRPr="00AB34B4">
        <w:rPr>
          <w:rFonts w:ascii="Franklin Gothic Book" w:eastAsia="Times New Roman" w:hAnsi="Franklin Gothic Book" w:cs="Times New Roman"/>
          <w:lang w:eastAsia="fr-FR"/>
        </w:rPr>
        <w:t> : il s’appuie sur la capacité du corps à maintenir l’équilibre des milieux extra et intra cellulaires. Sa perturbation affecte la nutrition des tissus et l’élimination des produits du métabolisme.</w:t>
      </w:r>
    </w:p>
    <w:p w:rsidR="00AB34B4" w:rsidRPr="00AB34B4" w:rsidRDefault="00AB34B4" w:rsidP="00AB34B4">
      <w:pPr>
        <w:tabs>
          <w:tab w:val="num" w:pos="780"/>
        </w:tabs>
        <w:spacing w:after="0" w:line="240" w:lineRule="auto"/>
        <w:ind w:left="780" w:hanging="360"/>
        <w:jc w:val="both"/>
        <w:rPr>
          <w:rFonts w:ascii="Times New Roman" w:eastAsia="Times New Roman" w:hAnsi="Times New Roman" w:cs="Times New Roman"/>
          <w:sz w:val="24"/>
          <w:szCs w:val="24"/>
          <w:lang w:eastAsia="fr-FR"/>
        </w:rPr>
      </w:pPr>
      <w:r w:rsidRPr="00AB34B4">
        <w:rPr>
          <w:rFonts w:ascii="Franklin Gothic Demi" w:eastAsia="Franklin Gothic Demi" w:hAnsi="Franklin Gothic Demi" w:cs="Franklin Gothic Demi"/>
          <w:lang w:eastAsia="fr-FR"/>
        </w:rPr>
        <w:t>4.</w:t>
      </w:r>
      <w:r w:rsidRPr="00AB34B4">
        <w:rPr>
          <w:rFonts w:ascii="Times New Roman" w:eastAsia="Franklin Gothic Demi" w:hAnsi="Times New Roman" w:cs="Times New Roman"/>
          <w:sz w:val="14"/>
          <w:szCs w:val="14"/>
          <w:lang w:eastAsia="fr-FR"/>
        </w:rPr>
        <w:t xml:space="preserve">      </w:t>
      </w:r>
      <w:r w:rsidRPr="00AB34B4">
        <w:rPr>
          <w:rFonts w:ascii="Franklin Gothic Book" w:eastAsia="Times New Roman" w:hAnsi="Franklin Gothic Book" w:cs="Times New Roman"/>
          <w:u w:val="single"/>
          <w:lang w:eastAsia="fr-FR"/>
        </w:rPr>
        <w:t>Le modèle énergétique</w:t>
      </w:r>
      <w:r w:rsidRPr="00AB34B4">
        <w:rPr>
          <w:rFonts w:ascii="Franklin Gothic Book" w:eastAsia="Times New Roman" w:hAnsi="Franklin Gothic Book" w:cs="Times New Roman"/>
          <w:lang w:eastAsia="fr-FR"/>
        </w:rPr>
        <w:t> : il s’appuie sur l’équilibre entre la production, la distribution et l’utilisation de l’énergie au sein de l’organisme. Sa perturbation provoque des réactions nutritionnelles, immunologiques et psychologiques.</w:t>
      </w:r>
    </w:p>
    <w:p w:rsidR="00AB34B4" w:rsidRPr="00AB34B4" w:rsidRDefault="00AB34B4" w:rsidP="00AB34B4">
      <w:pPr>
        <w:tabs>
          <w:tab w:val="num" w:pos="780"/>
        </w:tabs>
        <w:spacing w:after="0" w:line="240" w:lineRule="auto"/>
        <w:ind w:left="780" w:hanging="360"/>
        <w:jc w:val="both"/>
        <w:rPr>
          <w:rFonts w:ascii="Times New Roman" w:eastAsia="Times New Roman" w:hAnsi="Times New Roman" w:cs="Times New Roman"/>
          <w:sz w:val="24"/>
          <w:szCs w:val="24"/>
          <w:lang w:eastAsia="fr-FR"/>
        </w:rPr>
      </w:pPr>
      <w:r w:rsidRPr="00AB34B4">
        <w:rPr>
          <w:rFonts w:ascii="Franklin Gothic Demi" w:eastAsia="Franklin Gothic Demi" w:hAnsi="Franklin Gothic Demi" w:cs="Franklin Gothic Demi"/>
          <w:lang w:eastAsia="fr-FR"/>
        </w:rPr>
        <w:t>5.</w:t>
      </w:r>
      <w:r w:rsidRPr="00AB34B4">
        <w:rPr>
          <w:rFonts w:ascii="Times New Roman" w:eastAsia="Franklin Gothic Demi" w:hAnsi="Times New Roman" w:cs="Times New Roman"/>
          <w:sz w:val="14"/>
          <w:szCs w:val="14"/>
          <w:lang w:eastAsia="fr-FR"/>
        </w:rPr>
        <w:t xml:space="preserve">      </w:t>
      </w:r>
      <w:r w:rsidRPr="00AB34B4">
        <w:rPr>
          <w:rFonts w:ascii="Franklin Gothic Book" w:eastAsia="Times New Roman" w:hAnsi="Franklin Gothic Book" w:cs="Times New Roman"/>
          <w:u w:val="single"/>
          <w:lang w:eastAsia="fr-FR"/>
        </w:rPr>
        <w:t>Le modèle biopsychosocial :</w:t>
      </w:r>
      <w:r w:rsidRPr="00AB34B4">
        <w:rPr>
          <w:rFonts w:ascii="Franklin Gothic Book" w:eastAsia="Times New Roman" w:hAnsi="Franklin Gothic Book" w:cs="Times New Roman"/>
          <w:lang w:eastAsia="fr-FR"/>
        </w:rPr>
        <w:t xml:space="preserve"> il s’appuie sur la réaction de l’individu à ses environnements socioéconomique, culturel et psychologique. Sa perturbation renforce le stress et majore l’inadaptation physiologique.</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t>Le tableau clinique</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Le tableau clinique de la dysfonction somatique dépend du ou des modèles de réponses auquel le corps procède, en réaction à une perturbation de sa physiologie et des structures anatomiques qui prennent part à cette réaction. Toutefois, la perturbation de la mobilité et la modification de la qualité des tissus sont toujours présentes. Elles s’accompagnent de signes et de symptômes. L’ensemble de ces perturbations et des manifestations qui les accompagnent est appelé trouble fonctionnel.</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t>Le diagnostic ostéopathique</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Il s’appuie sur trois démarches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numPr>
          <w:ilvl w:val="0"/>
          <w:numId w:val="1"/>
        </w:numPr>
        <w:spacing w:after="0" w:line="24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 xml:space="preserve">Le diagnostic </w:t>
      </w:r>
      <w:proofErr w:type="spellStart"/>
      <w:r w:rsidRPr="00AB34B4">
        <w:rPr>
          <w:rFonts w:ascii="Franklin Gothic Book" w:eastAsia="Times New Roman" w:hAnsi="Franklin Gothic Book" w:cs="Times New Roman"/>
          <w:lang w:eastAsia="fr-FR"/>
        </w:rPr>
        <w:t>palpatoire</w:t>
      </w:r>
      <w:proofErr w:type="spellEnd"/>
      <w:r w:rsidRPr="00AB34B4">
        <w:rPr>
          <w:rFonts w:ascii="Franklin Gothic Book" w:eastAsia="Times New Roman" w:hAnsi="Franklin Gothic Book" w:cs="Times New Roman"/>
          <w:lang w:eastAsia="fr-FR"/>
        </w:rPr>
        <w:t xml:space="preserve"> qui permet de définir les perturbations de mobilité des structures de l’organisme et les tissus responsables du trouble fonctionnel. </w:t>
      </w:r>
    </w:p>
    <w:p w:rsidR="00AB34B4" w:rsidRPr="00AB34B4" w:rsidRDefault="00AB34B4" w:rsidP="00AB34B4">
      <w:pPr>
        <w:numPr>
          <w:ilvl w:val="0"/>
          <w:numId w:val="1"/>
        </w:numPr>
        <w:spacing w:after="0" w:line="24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 xml:space="preserve">Le diagnostic </w:t>
      </w:r>
      <w:proofErr w:type="spellStart"/>
      <w:r w:rsidRPr="00AB34B4">
        <w:rPr>
          <w:rFonts w:ascii="Franklin Gothic Book" w:eastAsia="Times New Roman" w:hAnsi="Franklin Gothic Book" w:cs="Times New Roman"/>
          <w:lang w:eastAsia="fr-FR"/>
        </w:rPr>
        <w:t>étiopathique</w:t>
      </w:r>
      <w:proofErr w:type="spellEnd"/>
      <w:r w:rsidRPr="00AB34B4">
        <w:rPr>
          <w:rFonts w:ascii="Franklin Gothic Book" w:eastAsia="Times New Roman" w:hAnsi="Franklin Gothic Book" w:cs="Times New Roman"/>
          <w:lang w:eastAsia="fr-FR"/>
        </w:rPr>
        <w:t xml:space="preserve"> qui fait le lien entre l’anatomie, la physiologie et l’expression du trouble fonctionnel.</w:t>
      </w:r>
      <w:r w:rsidRPr="00AB34B4">
        <w:rPr>
          <w:rFonts w:ascii="Verdana" w:eastAsia="Times New Roman" w:hAnsi="Verdana" w:cs="Times New Roman"/>
          <w:sz w:val="17"/>
          <w:szCs w:val="17"/>
          <w:lang w:eastAsia="fr-FR"/>
        </w:rPr>
        <w:t xml:space="preserve"> </w:t>
      </w:r>
    </w:p>
    <w:p w:rsidR="00AB34B4" w:rsidRPr="00AB34B4" w:rsidRDefault="00AB34B4" w:rsidP="00AB34B4">
      <w:pPr>
        <w:numPr>
          <w:ilvl w:val="0"/>
          <w:numId w:val="1"/>
        </w:numPr>
        <w:spacing w:after="0" w:line="24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Le diagnostic d’exclusion qui met en évidence les signes d’alerte des maladies organiques présentant des lésions tissulaires identifiables.</w:t>
      </w:r>
      <w:r w:rsidRPr="00AB34B4">
        <w:rPr>
          <w:rFonts w:ascii="Verdana" w:eastAsia="Times New Roman" w:hAnsi="Verdana" w:cs="Times New Roman"/>
          <w:sz w:val="17"/>
          <w:szCs w:val="17"/>
          <w:lang w:eastAsia="fr-FR"/>
        </w:rPr>
        <w:t xml:space="preserve">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r w:rsidRPr="00AB34B4">
        <w:rPr>
          <w:rFonts w:ascii="Franklin Gothic Demi" w:eastAsia="Times New Roman" w:hAnsi="Franklin Gothic Demi" w:cs="Times New Roman"/>
          <w:lang w:eastAsia="fr-FR"/>
        </w:rPr>
        <w:t>Le déroulement type d’une consultation ostéopathique</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b/>
          <w:lang w:eastAsia="fr-FR"/>
        </w:rPr>
        <w:t> </w:t>
      </w:r>
    </w:p>
    <w:p w:rsidR="00AB34B4" w:rsidRPr="00AB34B4" w:rsidRDefault="00AB34B4" w:rsidP="00AB34B4">
      <w:pPr>
        <w:numPr>
          <w:ilvl w:val="0"/>
          <w:numId w:val="2"/>
        </w:numPr>
        <w:spacing w:after="0" w:line="24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lastRenderedPageBreak/>
        <w:t>L’examen ostéopathique</w:t>
      </w:r>
      <w:r w:rsidRPr="00AB34B4">
        <w:rPr>
          <w:rFonts w:ascii="Verdana" w:eastAsia="Times New Roman" w:hAnsi="Verdana" w:cs="Times New Roman"/>
          <w:sz w:val="17"/>
          <w:szCs w:val="17"/>
          <w:lang w:eastAsia="fr-FR"/>
        </w:rPr>
        <w:t xml:space="preserve"> </w:t>
      </w:r>
    </w:p>
    <w:p w:rsidR="00AB34B4" w:rsidRPr="00AB34B4" w:rsidRDefault="00AB34B4" w:rsidP="00AB34B4">
      <w:pPr>
        <w:spacing w:after="0" w:line="240" w:lineRule="auto"/>
        <w:ind w:left="72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xml:space="preserve">Il empreinte un certain nombre de procédures de l’examen clinique tel qu’il fût développé au début du XX° siècle. Il a gardé ce rôle majeur en ostéopathie alors que  l’évolution de la médecine contemporaine, liée aux essors de l’industrie pharmaceutique et de la technologie d’exploration, ne lui fait plus tenir ce rôle central. Il a été complété des éléments spécifiques du concept ostéopathique </w:t>
      </w:r>
      <w:r w:rsidRPr="00AB34B4">
        <w:rPr>
          <w:rFonts w:ascii="Franklin Gothic Book" w:eastAsia="Times New Roman" w:hAnsi="Franklin Gothic Book" w:cs="Times New Roman"/>
          <w:i/>
          <w:lang w:eastAsia="fr-FR"/>
        </w:rPr>
        <w:t>(en italique).</w:t>
      </w:r>
      <w:r w:rsidRPr="00AB34B4">
        <w:rPr>
          <w:rFonts w:ascii="Franklin Gothic Book" w:eastAsia="Times New Roman" w:hAnsi="Franklin Gothic Book" w:cs="Times New Roman"/>
          <w:lang w:eastAsia="fr-FR"/>
        </w:rPr>
        <w:t xml:space="preserve">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tabs>
          <w:tab w:val="num" w:pos="1440"/>
        </w:tabs>
        <w:spacing w:after="0" w:line="240" w:lineRule="auto"/>
        <w:ind w:left="1440" w:hanging="360"/>
        <w:jc w:val="both"/>
        <w:rPr>
          <w:rFonts w:ascii="Times New Roman" w:eastAsia="Times New Roman" w:hAnsi="Times New Roman" w:cs="Times New Roman"/>
          <w:sz w:val="24"/>
          <w:szCs w:val="24"/>
          <w:lang w:eastAsia="fr-FR"/>
        </w:rPr>
      </w:pPr>
      <w:r w:rsidRPr="00AB34B4">
        <w:rPr>
          <w:rFonts w:ascii="Franklin Gothic Demi" w:eastAsia="Franklin Gothic Demi" w:hAnsi="Franklin Gothic Demi" w:cs="Franklin Gothic Demi"/>
          <w:lang w:eastAsia="fr-FR"/>
        </w:rPr>
        <w:t>1.</w:t>
      </w:r>
      <w:r w:rsidRPr="00AB34B4">
        <w:rPr>
          <w:rFonts w:ascii="Times New Roman" w:eastAsia="Franklin Gothic Demi" w:hAnsi="Times New Roman" w:cs="Times New Roman"/>
          <w:sz w:val="14"/>
          <w:szCs w:val="14"/>
          <w:lang w:eastAsia="fr-FR"/>
        </w:rPr>
        <w:t xml:space="preserve">      </w:t>
      </w:r>
      <w:r w:rsidRPr="00AB34B4">
        <w:rPr>
          <w:rFonts w:ascii="Franklin Gothic Book" w:eastAsia="Times New Roman" w:hAnsi="Franklin Gothic Book" w:cs="Times New Roman"/>
          <w:lang w:eastAsia="fr-FR"/>
        </w:rPr>
        <w:t>Anamnèse</w:t>
      </w:r>
    </w:p>
    <w:p w:rsidR="00AB34B4" w:rsidRPr="00AB34B4" w:rsidRDefault="00AB34B4" w:rsidP="00AB34B4">
      <w:pPr>
        <w:tabs>
          <w:tab w:val="num" w:pos="1440"/>
        </w:tabs>
        <w:spacing w:after="0" w:line="240" w:lineRule="auto"/>
        <w:ind w:left="1440" w:hanging="360"/>
        <w:jc w:val="both"/>
        <w:rPr>
          <w:rFonts w:ascii="Times New Roman" w:eastAsia="Times New Roman" w:hAnsi="Times New Roman" w:cs="Times New Roman"/>
          <w:sz w:val="24"/>
          <w:szCs w:val="24"/>
          <w:lang w:eastAsia="fr-FR"/>
        </w:rPr>
      </w:pPr>
      <w:r w:rsidRPr="00AB34B4">
        <w:rPr>
          <w:rFonts w:ascii="Franklin Gothic Demi" w:eastAsia="Franklin Gothic Demi" w:hAnsi="Franklin Gothic Demi" w:cs="Franklin Gothic Demi"/>
          <w:lang w:eastAsia="fr-FR"/>
        </w:rPr>
        <w:t>2.</w:t>
      </w:r>
      <w:r w:rsidRPr="00AB34B4">
        <w:rPr>
          <w:rFonts w:ascii="Times New Roman" w:eastAsia="Franklin Gothic Demi" w:hAnsi="Times New Roman" w:cs="Times New Roman"/>
          <w:sz w:val="14"/>
          <w:szCs w:val="14"/>
          <w:lang w:eastAsia="fr-FR"/>
        </w:rPr>
        <w:t xml:space="preserve">      </w:t>
      </w:r>
      <w:r w:rsidRPr="00AB34B4">
        <w:rPr>
          <w:rFonts w:ascii="Franklin Gothic Book" w:eastAsia="Times New Roman" w:hAnsi="Franklin Gothic Book" w:cs="Times New Roman"/>
          <w:lang w:eastAsia="fr-FR"/>
        </w:rPr>
        <w:t>Examen Physique</w:t>
      </w:r>
    </w:p>
    <w:p w:rsidR="00AB34B4" w:rsidRPr="00AB34B4" w:rsidRDefault="00AB34B4" w:rsidP="00AB34B4">
      <w:pPr>
        <w:tabs>
          <w:tab w:val="num" w:pos="1800"/>
        </w:tabs>
        <w:spacing w:after="0" w:line="240" w:lineRule="auto"/>
        <w:ind w:left="1800" w:hanging="360"/>
        <w:jc w:val="both"/>
        <w:rPr>
          <w:rFonts w:ascii="Times New Roman" w:eastAsia="Times New Roman" w:hAnsi="Times New Roman" w:cs="Times New Roman"/>
          <w:sz w:val="24"/>
          <w:szCs w:val="24"/>
          <w:lang w:eastAsia="fr-FR"/>
        </w:rPr>
      </w:pPr>
      <w:r w:rsidRPr="00AB34B4">
        <w:rPr>
          <w:rFonts w:ascii="Franklin Gothic Book" w:eastAsia="Franklin Gothic Book" w:hAnsi="Franklin Gothic Book" w:cs="Franklin Gothic Book"/>
          <w:lang w:eastAsia="fr-FR"/>
        </w:rPr>
        <w:t>2.1</w:t>
      </w:r>
      <w:r w:rsidRPr="00AB34B4">
        <w:rPr>
          <w:rFonts w:ascii="Times New Roman" w:eastAsia="Franklin Gothic Book" w:hAnsi="Times New Roman" w:cs="Times New Roman"/>
          <w:sz w:val="14"/>
          <w:szCs w:val="14"/>
          <w:lang w:eastAsia="fr-FR"/>
        </w:rPr>
        <w:t xml:space="preserve"> </w:t>
      </w:r>
      <w:r w:rsidRPr="00AB34B4">
        <w:rPr>
          <w:rFonts w:ascii="Franklin Gothic Book" w:eastAsia="Times New Roman" w:hAnsi="Franklin Gothic Book" w:cs="Times New Roman"/>
          <w:lang w:eastAsia="fr-FR"/>
        </w:rPr>
        <w:t>Inspection</w:t>
      </w:r>
    </w:p>
    <w:p w:rsidR="00AB34B4" w:rsidRPr="00AB34B4" w:rsidRDefault="00AB34B4" w:rsidP="00AB34B4">
      <w:pPr>
        <w:tabs>
          <w:tab w:val="num" w:pos="1800"/>
        </w:tabs>
        <w:spacing w:after="0" w:line="240" w:lineRule="auto"/>
        <w:ind w:left="1800" w:hanging="360"/>
        <w:jc w:val="both"/>
        <w:rPr>
          <w:rFonts w:ascii="Times New Roman" w:eastAsia="Times New Roman" w:hAnsi="Times New Roman" w:cs="Times New Roman"/>
          <w:sz w:val="24"/>
          <w:szCs w:val="24"/>
          <w:lang w:eastAsia="fr-FR"/>
        </w:rPr>
      </w:pPr>
      <w:r w:rsidRPr="00AB34B4">
        <w:rPr>
          <w:rFonts w:ascii="Franklin Gothic Book" w:eastAsia="Franklin Gothic Book" w:hAnsi="Franklin Gothic Book" w:cs="Franklin Gothic Book"/>
          <w:lang w:eastAsia="fr-FR"/>
        </w:rPr>
        <w:t>2.2</w:t>
      </w:r>
      <w:r w:rsidRPr="00AB34B4">
        <w:rPr>
          <w:rFonts w:ascii="Times New Roman" w:eastAsia="Franklin Gothic Book"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Palpation </w:t>
      </w:r>
      <w:r w:rsidRPr="00AB34B4">
        <w:rPr>
          <w:rFonts w:ascii="Franklin Gothic Book" w:eastAsia="Times New Roman" w:hAnsi="Franklin Gothic Book" w:cs="Times New Roman"/>
          <w:i/>
          <w:lang w:eastAsia="fr-FR"/>
        </w:rPr>
        <w:t>dont les tests de mobilité et de qualité tissulaire</w:t>
      </w:r>
    </w:p>
    <w:p w:rsidR="00AB34B4" w:rsidRPr="00AB34B4" w:rsidRDefault="00AB34B4" w:rsidP="00AB34B4">
      <w:pPr>
        <w:tabs>
          <w:tab w:val="num" w:pos="1800"/>
        </w:tabs>
        <w:spacing w:after="0" w:line="240" w:lineRule="auto"/>
        <w:ind w:left="1800" w:hanging="360"/>
        <w:jc w:val="both"/>
        <w:rPr>
          <w:rFonts w:ascii="Times New Roman" w:eastAsia="Times New Roman" w:hAnsi="Times New Roman" w:cs="Times New Roman"/>
          <w:sz w:val="24"/>
          <w:szCs w:val="24"/>
          <w:lang w:eastAsia="fr-FR"/>
        </w:rPr>
      </w:pPr>
      <w:r w:rsidRPr="00AB34B4">
        <w:rPr>
          <w:rFonts w:ascii="Franklin Gothic Book" w:eastAsia="Franklin Gothic Book" w:hAnsi="Franklin Gothic Book" w:cs="Franklin Gothic Book"/>
          <w:lang w:eastAsia="fr-FR"/>
        </w:rPr>
        <w:t>2.3</w:t>
      </w:r>
      <w:r w:rsidRPr="00AB34B4">
        <w:rPr>
          <w:rFonts w:ascii="Times New Roman" w:eastAsia="Franklin Gothic Book" w:hAnsi="Times New Roman" w:cs="Times New Roman"/>
          <w:sz w:val="14"/>
          <w:szCs w:val="14"/>
          <w:lang w:eastAsia="fr-FR"/>
        </w:rPr>
        <w:t xml:space="preserve"> </w:t>
      </w:r>
      <w:r w:rsidRPr="00AB34B4">
        <w:rPr>
          <w:rFonts w:ascii="Franklin Gothic Book" w:eastAsia="Times New Roman" w:hAnsi="Franklin Gothic Book" w:cs="Times New Roman"/>
          <w:lang w:eastAsia="fr-FR"/>
        </w:rPr>
        <w:t>Percussion</w:t>
      </w:r>
    </w:p>
    <w:p w:rsidR="00AB34B4" w:rsidRPr="00AB34B4" w:rsidRDefault="00AB34B4" w:rsidP="00AB34B4">
      <w:pPr>
        <w:tabs>
          <w:tab w:val="num" w:pos="1800"/>
        </w:tabs>
        <w:spacing w:after="0" w:line="240" w:lineRule="auto"/>
        <w:ind w:left="1800" w:hanging="360"/>
        <w:jc w:val="both"/>
        <w:rPr>
          <w:rFonts w:ascii="Times New Roman" w:eastAsia="Times New Roman" w:hAnsi="Times New Roman" w:cs="Times New Roman"/>
          <w:sz w:val="24"/>
          <w:szCs w:val="24"/>
          <w:lang w:eastAsia="fr-FR"/>
        </w:rPr>
      </w:pPr>
      <w:r w:rsidRPr="00AB34B4">
        <w:rPr>
          <w:rFonts w:ascii="Franklin Gothic Book" w:eastAsia="Franklin Gothic Book" w:hAnsi="Franklin Gothic Book" w:cs="Franklin Gothic Book"/>
          <w:lang w:eastAsia="fr-FR"/>
        </w:rPr>
        <w:t>2.4</w:t>
      </w:r>
      <w:r w:rsidRPr="00AB34B4">
        <w:rPr>
          <w:rFonts w:ascii="Times New Roman" w:eastAsia="Franklin Gothic Book" w:hAnsi="Times New Roman" w:cs="Times New Roman"/>
          <w:sz w:val="14"/>
          <w:szCs w:val="14"/>
          <w:lang w:eastAsia="fr-FR"/>
        </w:rPr>
        <w:t xml:space="preserve"> </w:t>
      </w:r>
      <w:r w:rsidRPr="00AB34B4">
        <w:rPr>
          <w:rFonts w:ascii="Franklin Gothic Book" w:eastAsia="Times New Roman" w:hAnsi="Franklin Gothic Book" w:cs="Times New Roman"/>
          <w:lang w:eastAsia="fr-FR"/>
        </w:rPr>
        <w:t>Auscultation</w:t>
      </w:r>
    </w:p>
    <w:p w:rsidR="00AB34B4" w:rsidRPr="00AB34B4" w:rsidRDefault="00AB34B4" w:rsidP="00AB34B4">
      <w:pPr>
        <w:tabs>
          <w:tab w:val="num" w:pos="1440"/>
        </w:tabs>
        <w:spacing w:after="0" w:line="240" w:lineRule="auto"/>
        <w:ind w:left="1440" w:hanging="360"/>
        <w:jc w:val="both"/>
        <w:rPr>
          <w:rFonts w:ascii="Times New Roman" w:eastAsia="Times New Roman" w:hAnsi="Times New Roman" w:cs="Times New Roman"/>
          <w:sz w:val="24"/>
          <w:szCs w:val="24"/>
          <w:lang w:eastAsia="fr-FR"/>
        </w:rPr>
      </w:pPr>
      <w:r w:rsidRPr="00AB34B4">
        <w:rPr>
          <w:rFonts w:ascii="Franklin Gothic Demi" w:eastAsia="Franklin Gothic Demi" w:hAnsi="Franklin Gothic Demi" w:cs="Franklin Gothic Demi"/>
          <w:lang w:eastAsia="fr-FR"/>
        </w:rPr>
        <w:t>3.</w:t>
      </w:r>
      <w:r w:rsidRPr="00AB34B4">
        <w:rPr>
          <w:rFonts w:ascii="Times New Roman" w:eastAsia="Franklin Gothic Demi"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Lecture des examens </w:t>
      </w:r>
      <w:proofErr w:type="spellStart"/>
      <w:r w:rsidRPr="00AB34B4">
        <w:rPr>
          <w:rFonts w:ascii="Franklin Gothic Book" w:eastAsia="Times New Roman" w:hAnsi="Franklin Gothic Book" w:cs="Times New Roman"/>
          <w:lang w:eastAsia="fr-FR"/>
        </w:rPr>
        <w:t>paracliniques</w:t>
      </w:r>
      <w:proofErr w:type="spellEnd"/>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numPr>
          <w:ilvl w:val="0"/>
          <w:numId w:val="3"/>
        </w:numPr>
        <w:spacing w:after="0" w:line="24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Le traitement</w:t>
      </w:r>
      <w:r w:rsidRPr="00AB34B4">
        <w:rPr>
          <w:rFonts w:ascii="Verdana" w:eastAsia="Times New Roman" w:hAnsi="Verdana" w:cs="Times New Roman"/>
          <w:sz w:val="17"/>
          <w:szCs w:val="17"/>
          <w:lang w:eastAsia="fr-FR"/>
        </w:rPr>
        <w:t xml:space="preserve"> </w:t>
      </w:r>
    </w:p>
    <w:p w:rsidR="00AB34B4" w:rsidRPr="00AB34B4" w:rsidRDefault="00AB34B4" w:rsidP="00AB34B4">
      <w:pPr>
        <w:spacing w:after="0" w:line="240" w:lineRule="auto"/>
        <w:ind w:left="72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xml:space="preserve">Le traitement ostéopathique s’effectue à l’aide des mains qui exercent une action mécanique sur le corps. Il présente des contre indications (voir en infra). Les contre indications au traitement consistent en toute pathologie innée ou acquise entraînant une fragilité mécanique des structures constituant l’organisme, que l’application d’une force extérieure, pourrait aggraver.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numPr>
          <w:ilvl w:val="0"/>
          <w:numId w:val="4"/>
        </w:numPr>
        <w:spacing w:after="0" w:line="24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iCs/>
          <w:lang w:eastAsia="fr-FR"/>
        </w:rPr>
        <w:t>Contrôle des modifications des paramètres de mobilité et de qualité tissulaire</w:t>
      </w:r>
      <w:r w:rsidRPr="00AB34B4">
        <w:rPr>
          <w:rFonts w:ascii="Verdana" w:eastAsia="Times New Roman" w:hAnsi="Verdana" w:cs="Times New Roman"/>
          <w:sz w:val="17"/>
          <w:szCs w:val="17"/>
          <w:lang w:eastAsia="fr-FR"/>
        </w:rPr>
        <w:t xml:space="preserve"> </w:t>
      </w:r>
    </w:p>
    <w:p w:rsidR="00AB34B4" w:rsidRPr="00AB34B4" w:rsidRDefault="00AB34B4" w:rsidP="00AB34B4">
      <w:pPr>
        <w:numPr>
          <w:ilvl w:val="0"/>
          <w:numId w:val="5"/>
        </w:numPr>
        <w:spacing w:after="0" w:line="24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Conseils prophylactiques et d’hygiène de santé</w:t>
      </w:r>
      <w:r w:rsidRPr="00AB34B4">
        <w:rPr>
          <w:rFonts w:ascii="Verdana" w:eastAsia="Times New Roman" w:hAnsi="Verdana" w:cs="Times New Roman"/>
          <w:sz w:val="17"/>
          <w:szCs w:val="17"/>
          <w:lang w:eastAsia="fr-FR"/>
        </w:rPr>
        <w:t xml:space="preserve"> </w:t>
      </w:r>
    </w:p>
    <w:p w:rsidR="00AB34B4" w:rsidRPr="00AB34B4" w:rsidRDefault="00AB34B4" w:rsidP="00AB34B4">
      <w:pPr>
        <w:spacing w:after="0" w:line="240" w:lineRule="auto"/>
        <w:ind w:firstLine="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caps/>
          <w:lang w:eastAsia="fr-FR"/>
        </w:rPr>
        <w:t>l</w:t>
      </w:r>
      <w:r w:rsidRPr="00AB34B4">
        <w:rPr>
          <w:rFonts w:ascii="Franklin Gothic Demi" w:eastAsia="Times New Roman" w:hAnsi="Franklin Gothic Demi" w:cs="Times New Roman"/>
          <w:lang w:eastAsia="fr-FR"/>
        </w:rPr>
        <w:t>es contre indications au traitement ostéopathique</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(Norme de compétence de l’ostéopathe 2004 – page 26)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b/>
          <w:lang w:eastAsia="fr-FR"/>
        </w:rPr>
        <w:t> </w:t>
      </w:r>
    </w:p>
    <w:p w:rsidR="00AB34B4" w:rsidRPr="00AB34B4" w:rsidRDefault="00AB34B4" w:rsidP="00AB34B4">
      <w:pPr>
        <w:spacing w:after="0" w:line="240" w:lineRule="auto"/>
        <w:ind w:right="612"/>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bCs/>
          <w:lang w:eastAsia="fr-FR"/>
        </w:rPr>
        <w:t>Les contre indications peuvent être absolues - le traitement ne doit pas être effectué - ou être relatives à l’état de fragilité des tissus – le traitement peut être effectué avec certaines précautions come l’exclusion du traitement des régions fragiles et/ou des techniques occasionnant une trop grande force externe.</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numPr>
          <w:ilvl w:val="0"/>
          <w:numId w:val="6"/>
        </w:numPr>
        <w:spacing w:after="0" w:line="240" w:lineRule="auto"/>
        <w:jc w:val="both"/>
        <w:rPr>
          <w:rFonts w:ascii="Verdana" w:eastAsia="Times New Roman" w:hAnsi="Verdana" w:cs="Times New Roman"/>
          <w:sz w:val="17"/>
          <w:szCs w:val="17"/>
          <w:lang w:eastAsia="fr-FR"/>
        </w:rPr>
      </w:pPr>
      <w:r w:rsidRPr="00AB34B4">
        <w:rPr>
          <w:rFonts w:ascii="Franklin Gothic Demi" w:eastAsia="Times New Roman" w:hAnsi="Franklin Gothic Demi" w:cs="Times New Roman"/>
          <w:lang w:eastAsia="fr-FR"/>
        </w:rPr>
        <w:t>Les contre indications absolues au traitement ostéopathique :</w:t>
      </w:r>
      <w:r w:rsidRPr="00AB34B4">
        <w:rPr>
          <w:rFonts w:ascii="Verdana" w:eastAsia="Times New Roman" w:hAnsi="Verdana" w:cs="Times New Roman"/>
          <w:sz w:val="17"/>
          <w:szCs w:val="17"/>
          <w:lang w:eastAsia="fr-FR"/>
        </w:rPr>
        <w:t xml:space="preserve"> </w:t>
      </w:r>
    </w:p>
    <w:p w:rsidR="00AB34B4" w:rsidRPr="00AB34B4" w:rsidRDefault="00AB34B4" w:rsidP="00AB34B4">
      <w:pPr>
        <w:numPr>
          <w:ilvl w:val="1"/>
          <w:numId w:val="6"/>
        </w:numPr>
        <w:spacing w:after="0" w:line="24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Absence de consentement du patient (article 40 du code de déontologie)</w:t>
      </w:r>
      <w:r w:rsidRPr="00AB34B4">
        <w:rPr>
          <w:rFonts w:ascii="Verdana" w:eastAsia="Times New Roman" w:hAnsi="Verdana" w:cs="Times New Roman"/>
          <w:sz w:val="17"/>
          <w:szCs w:val="17"/>
          <w:lang w:eastAsia="fr-FR"/>
        </w:rPr>
        <w:t xml:space="preserve"> </w:t>
      </w:r>
    </w:p>
    <w:p w:rsidR="00AB34B4" w:rsidRPr="00AB34B4" w:rsidRDefault="00AB34B4" w:rsidP="00AB34B4">
      <w:pPr>
        <w:numPr>
          <w:ilvl w:val="1"/>
          <w:numId w:val="6"/>
        </w:numPr>
        <w:spacing w:after="0" w:line="24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Praticien ne pouvant déterminer la qualité des tissus du patient, quelles qu’en soient les raisons. (article 20 du code de déontologie)</w:t>
      </w:r>
      <w:r w:rsidRPr="00AB34B4">
        <w:rPr>
          <w:rFonts w:ascii="Verdana" w:eastAsia="Times New Roman" w:hAnsi="Verdana" w:cs="Times New Roman"/>
          <w:sz w:val="17"/>
          <w:szCs w:val="17"/>
          <w:lang w:eastAsia="fr-FR"/>
        </w:rPr>
        <w:t xml:space="preserve"> </w:t>
      </w:r>
    </w:p>
    <w:p w:rsidR="00AB34B4" w:rsidRPr="00AB34B4" w:rsidRDefault="00AB34B4" w:rsidP="00AB34B4">
      <w:pPr>
        <w:numPr>
          <w:ilvl w:val="0"/>
          <w:numId w:val="7"/>
        </w:numPr>
        <w:spacing w:after="0" w:line="240" w:lineRule="auto"/>
        <w:jc w:val="both"/>
        <w:rPr>
          <w:rFonts w:ascii="Verdana" w:eastAsia="Times New Roman" w:hAnsi="Verdana" w:cs="Times New Roman"/>
          <w:sz w:val="17"/>
          <w:szCs w:val="17"/>
          <w:lang w:eastAsia="fr-FR"/>
        </w:rPr>
      </w:pPr>
      <w:r w:rsidRPr="00AB34B4">
        <w:rPr>
          <w:rFonts w:ascii="Franklin Gothic Demi" w:eastAsia="Times New Roman" w:hAnsi="Franklin Gothic Demi" w:cs="Times New Roman"/>
          <w:lang w:eastAsia="fr-FR"/>
        </w:rPr>
        <w:t>Contre indications aux techniques directes :</w:t>
      </w:r>
      <w:r w:rsidRPr="00AB34B4">
        <w:rPr>
          <w:rFonts w:ascii="Verdana" w:eastAsia="Times New Roman" w:hAnsi="Verdana" w:cs="Times New Roman"/>
          <w:sz w:val="17"/>
          <w:szCs w:val="17"/>
          <w:lang w:eastAsia="fr-FR"/>
        </w:rPr>
        <w:t xml:space="preserve"> </w:t>
      </w:r>
    </w:p>
    <w:p w:rsidR="00AB34B4" w:rsidRPr="00AB34B4" w:rsidRDefault="00AB34B4" w:rsidP="00AB34B4">
      <w:pPr>
        <w:spacing w:after="0" w:line="240" w:lineRule="auto"/>
        <w:ind w:left="360" w:firstLine="180"/>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t>2.1</w:t>
      </w:r>
      <w:r w:rsidRPr="00AB34B4">
        <w:rPr>
          <w:rFonts w:ascii="Franklin Gothic Book" w:eastAsia="Times New Roman" w:hAnsi="Franklin Gothic Book" w:cs="Times New Roman"/>
          <w:lang w:eastAsia="fr-FR"/>
        </w:rPr>
        <w:t xml:space="preserve"> Absolues </w:t>
      </w:r>
    </w:p>
    <w:p w:rsidR="00AB34B4" w:rsidRPr="00AB34B4" w:rsidRDefault="00AB34B4" w:rsidP="00AB34B4">
      <w:pPr>
        <w:spacing w:after="0" w:line="240" w:lineRule="auto"/>
        <w:ind w:left="900"/>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t>2.1.1</w:t>
      </w:r>
      <w:r w:rsidRPr="00AB34B4">
        <w:rPr>
          <w:rFonts w:ascii="Franklin Gothic Book" w:eastAsia="Times New Roman" w:hAnsi="Franklin Gothic Book" w:cs="Times New Roman"/>
          <w:lang w:eastAsia="fr-FR"/>
        </w:rPr>
        <w:t xml:space="preserve"> En raison d’une maladie systémique </w:t>
      </w:r>
    </w:p>
    <w:p w:rsidR="00AB34B4" w:rsidRPr="00AB34B4" w:rsidRDefault="00AB34B4" w:rsidP="00AB34B4">
      <w:pPr>
        <w:tabs>
          <w:tab w:val="num" w:pos="1800"/>
        </w:tabs>
        <w:spacing w:after="0" w:line="240" w:lineRule="auto"/>
        <w:ind w:left="180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Maladies provoquant une fragilité des tissus osseux, ligamentaires, tendineux, conjonctif, artériel, veineux…</w:t>
      </w:r>
    </w:p>
    <w:p w:rsidR="00AB34B4" w:rsidRPr="00AB34B4" w:rsidRDefault="00AB34B4" w:rsidP="00AB34B4">
      <w:pPr>
        <w:tabs>
          <w:tab w:val="num" w:pos="1800"/>
        </w:tabs>
        <w:spacing w:after="0" w:line="240" w:lineRule="auto"/>
        <w:ind w:left="180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Hémorragies, hémophilie, augmentation du délai de coagulation, phlébite.</w:t>
      </w:r>
    </w:p>
    <w:p w:rsidR="00AB34B4" w:rsidRPr="00AB34B4" w:rsidRDefault="00AB34B4" w:rsidP="00AB34B4">
      <w:pPr>
        <w:spacing w:after="0" w:line="240" w:lineRule="auto"/>
        <w:ind w:left="144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ind w:left="1440" w:hanging="540"/>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t>2.1.2</w:t>
      </w:r>
      <w:r w:rsidRPr="00AB34B4">
        <w:rPr>
          <w:rFonts w:ascii="Franklin Gothic Book" w:eastAsia="Times New Roman" w:hAnsi="Franklin Gothic Book" w:cs="Times New Roman"/>
          <w:lang w:eastAsia="fr-FR"/>
        </w:rPr>
        <w:t xml:space="preserve"> En raison d’une fragilité locale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Pathologie des parois ou obstruction artérielle ou veineuse diagnostiquée ou suspectée.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Traumatisme récent n’ayant pas fait l’objet d’un examen clinique et/ou d’examens </w:t>
      </w:r>
      <w:proofErr w:type="spellStart"/>
      <w:r w:rsidRPr="00AB34B4">
        <w:rPr>
          <w:rFonts w:ascii="Franklin Gothic Book" w:eastAsia="Times New Roman" w:hAnsi="Franklin Gothic Book" w:cs="Times New Roman"/>
          <w:lang w:eastAsia="fr-FR"/>
        </w:rPr>
        <w:t>paracliniques</w:t>
      </w:r>
      <w:proofErr w:type="spellEnd"/>
      <w:r w:rsidRPr="00AB34B4">
        <w:rPr>
          <w:rFonts w:ascii="Franklin Gothic Book" w:eastAsia="Times New Roman" w:hAnsi="Franklin Gothic Book" w:cs="Times New Roman"/>
          <w:lang w:eastAsia="fr-FR"/>
        </w:rPr>
        <w:t>.</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Accident vasculaire cérébral, hydrocéphalie, hématomes extra ou intra duraux</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Glaucome non contrôlé</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lastRenderedPageBreak/>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Cholécystite aigue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Appendicite aigue, péritonite </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Néphrite aigue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Processus néoplasique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Hernie discale aigue avec signes neurologiques</w:t>
      </w:r>
    </w:p>
    <w:p w:rsidR="00AB34B4" w:rsidRPr="00AB34B4" w:rsidRDefault="00AB34B4" w:rsidP="00AB34B4">
      <w:pPr>
        <w:spacing w:after="0" w:line="240" w:lineRule="auto"/>
        <w:ind w:left="12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ind w:left="600" w:firstLine="300"/>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t>2.1.3</w:t>
      </w:r>
      <w:r w:rsidRPr="00AB34B4">
        <w:rPr>
          <w:rFonts w:ascii="Franklin Gothic Book" w:eastAsia="Times New Roman" w:hAnsi="Franklin Gothic Book" w:cs="Times New Roman"/>
          <w:lang w:eastAsia="fr-FR"/>
        </w:rPr>
        <w:t xml:space="preserve"> Spécifiques aux techniques à haute vélocité et faible amplitude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Appareillage d’ostéosynthèse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Instabilité articulaire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Hématome et autres épanchements</w:t>
      </w:r>
    </w:p>
    <w:p w:rsidR="00AB34B4" w:rsidRPr="00AB34B4" w:rsidRDefault="00AB34B4" w:rsidP="00AB34B4">
      <w:pPr>
        <w:spacing w:after="0" w:line="240" w:lineRule="auto"/>
        <w:ind w:left="60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tabs>
          <w:tab w:val="num" w:pos="900"/>
        </w:tabs>
        <w:spacing w:after="0" w:line="240" w:lineRule="auto"/>
        <w:ind w:left="900" w:hanging="360"/>
        <w:jc w:val="both"/>
        <w:rPr>
          <w:rFonts w:ascii="Times New Roman" w:eastAsia="Times New Roman" w:hAnsi="Times New Roman" w:cs="Times New Roman"/>
          <w:sz w:val="24"/>
          <w:szCs w:val="24"/>
          <w:lang w:eastAsia="fr-FR"/>
        </w:rPr>
      </w:pPr>
      <w:r w:rsidRPr="00AB34B4">
        <w:rPr>
          <w:rFonts w:ascii="Franklin Gothic Demi" w:eastAsia="Franklin Gothic Demi" w:hAnsi="Franklin Gothic Demi" w:cs="Franklin Gothic Demi"/>
          <w:lang w:eastAsia="fr-FR"/>
        </w:rPr>
        <w:t>2.2</w:t>
      </w:r>
      <w:r w:rsidRPr="00AB34B4">
        <w:rPr>
          <w:rFonts w:ascii="Times New Roman" w:eastAsia="Franklin Gothic Demi" w:hAnsi="Times New Roman" w:cs="Times New Roman"/>
          <w:sz w:val="14"/>
          <w:szCs w:val="14"/>
          <w:lang w:eastAsia="fr-FR"/>
        </w:rPr>
        <w:t xml:space="preserve"> </w:t>
      </w:r>
      <w:r w:rsidRPr="00AB34B4">
        <w:rPr>
          <w:rFonts w:ascii="Franklin Gothic Book" w:eastAsia="Times New Roman" w:hAnsi="Franklin Gothic Book" w:cs="Times New Roman"/>
          <w:lang w:eastAsia="fr-FR"/>
        </w:rPr>
        <w:t>Relatives</w:t>
      </w:r>
    </w:p>
    <w:p w:rsidR="00AB34B4" w:rsidRPr="00AB34B4" w:rsidRDefault="00AB34B4" w:rsidP="00AB34B4">
      <w:pPr>
        <w:tabs>
          <w:tab w:val="num" w:pos="1440"/>
        </w:tabs>
        <w:spacing w:after="0" w:line="240" w:lineRule="auto"/>
        <w:ind w:left="144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Squelette fragile: personnes âgées, ostéoporose, </w:t>
      </w:r>
      <w:proofErr w:type="spellStart"/>
      <w:r w:rsidRPr="00AB34B4">
        <w:rPr>
          <w:rFonts w:ascii="Franklin Gothic Book" w:eastAsia="Times New Roman" w:hAnsi="Franklin Gothic Book" w:cs="Times New Roman"/>
          <w:lang w:eastAsia="fr-FR"/>
        </w:rPr>
        <w:t>ostéopénie</w:t>
      </w:r>
      <w:proofErr w:type="spellEnd"/>
    </w:p>
    <w:p w:rsidR="00AB34B4" w:rsidRPr="00AB34B4" w:rsidRDefault="00AB34B4" w:rsidP="00AB34B4">
      <w:pPr>
        <w:tabs>
          <w:tab w:val="num" w:pos="1440"/>
        </w:tabs>
        <w:spacing w:after="0" w:line="240" w:lineRule="auto"/>
        <w:ind w:left="144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Squelette non mature : pré pubères, ostéochondroses</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numPr>
          <w:ilvl w:val="0"/>
          <w:numId w:val="8"/>
        </w:numPr>
        <w:spacing w:after="0" w:line="240" w:lineRule="auto"/>
        <w:jc w:val="both"/>
        <w:rPr>
          <w:rFonts w:ascii="Verdana" w:eastAsia="Times New Roman" w:hAnsi="Verdana" w:cs="Times New Roman"/>
          <w:sz w:val="17"/>
          <w:szCs w:val="17"/>
          <w:lang w:eastAsia="fr-FR"/>
        </w:rPr>
      </w:pPr>
      <w:r w:rsidRPr="00AB34B4">
        <w:rPr>
          <w:rFonts w:ascii="Franklin Gothic Demi" w:eastAsia="Times New Roman" w:hAnsi="Franklin Gothic Demi" w:cs="Times New Roman"/>
          <w:lang w:eastAsia="fr-FR"/>
        </w:rPr>
        <w:t>Contre indications aux techniques indirectes</w:t>
      </w:r>
      <w:r w:rsidRPr="00AB34B4">
        <w:rPr>
          <w:rFonts w:ascii="Verdana" w:eastAsia="Times New Roman" w:hAnsi="Verdana" w:cs="Times New Roman"/>
          <w:sz w:val="17"/>
          <w:szCs w:val="17"/>
          <w:lang w:eastAsia="fr-FR"/>
        </w:rPr>
        <w:t xml:space="preserve"> </w:t>
      </w:r>
    </w:p>
    <w:p w:rsidR="00AB34B4" w:rsidRPr="00AB34B4" w:rsidRDefault="00AB34B4" w:rsidP="00AB34B4">
      <w:pPr>
        <w:spacing w:after="0" w:line="240" w:lineRule="auto"/>
        <w:ind w:left="1440" w:hanging="900"/>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t>3.1</w:t>
      </w:r>
      <w:r w:rsidRPr="00AB34B4">
        <w:rPr>
          <w:rFonts w:ascii="Franklin Gothic Book" w:eastAsia="Times New Roman" w:hAnsi="Franklin Gothic Book" w:cs="Times New Roman"/>
          <w:lang w:eastAsia="fr-FR"/>
        </w:rPr>
        <w:t xml:space="preserve"> En raison d’une fragilité locale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Pathologie des parois ou obstruction artérielle ou veineuse diagnostiquée ou suspectée.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Hémorragies, hémophilie, augmentation du délai de coagulation, phlébite.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Traumatisme récent n’ayant pas fait l’objet d’un examen clinique et/ou d’examens </w:t>
      </w:r>
      <w:proofErr w:type="spellStart"/>
      <w:r w:rsidRPr="00AB34B4">
        <w:rPr>
          <w:rFonts w:ascii="Franklin Gothic Book" w:eastAsia="Times New Roman" w:hAnsi="Franklin Gothic Book" w:cs="Times New Roman"/>
          <w:lang w:eastAsia="fr-FR"/>
        </w:rPr>
        <w:t>paracliniques</w:t>
      </w:r>
      <w:proofErr w:type="spellEnd"/>
      <w:r w:rsidRPr="00AB34B4">
        <w:rPr>
          <w:rFonts w:ascii="Franklin Gothic Book" w:eastAsia="Times New Roman" w:hAnsi="Franklin Gothic Book" w:cs="Times New Roman"/>
          <w:lang w:eastAsia="fr-FR"/>
        </w:rPr>
        <w:t>.</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Accident vasculaire cérébral, hydrocéphalie, hématomes extra ou intra duraux</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Cholécystite aigue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Appendicite aigue, péritonite </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Néphrite aigue</w:t>
      </w:r>
    </w:p>
    <w:p w:rsidR="00AB34B4" w:rsidRPr="00AB34B4" w:rsidRDefault="00AB34B4" w:rsidP="00AB34B4">
      <w:pPr>
        <w:tabs>
          <w:tab w:val="num" w:pos="1620"/>
        </w:tabs>
        <w:spacing w:after="0" w:line="240" w:lineRule="auto"/>
        <w:ind w:left="162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Processus néoplasique</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La lecture des contre indications aux traitements ostéopathique fait ressortir, outre la nécessité d’une démarche éthique, d’une déontologie, et d’une maîtrise de connaissances sémiologiques, la nécessité  d’effectuer des tests cliniques spécifiques. En effet, la seule application d’une palpation, aussi développée soit elle, ne permet pas à elle seule de déterminer l’intégrité anatomique et/ou fonctionnelle des structures sur lesquelles l’ostéopathe va appliquer son traitement. Ces tests portent  sur le système nerveux, l’appareil locomoteur, l’appareil cardio-vasculaire, l’appareil pulmonaire et ORL et l’appareil uro-génital.</w:t>
      </w:r>
    </w:p>
    <w:p w:rsidR="00AB34B4" w:rsidRPr="00AB34B4" w:rsidRDefault="00AB34B4" w:rsidP="00AB34B4">
      <w:pPr>
        <w:spacing w:after="0" w:line="240" w:lineRule="auto"/>
        <w:ind w:left="360"/>
        <w:jc w:val="both"/>
        <w:rPr>
          <w:rFonts w:ascii="Franklin Gothic Book" w:eastAsia="Times New Roman" w:hAnsi="Franklin Gothic Book" w:cs="Times New Roman"/>
          <w:lang w:eastAsia="fr-FR"/>
        </w:rPr>
        <w:sectPr w:rsidR="00AB34B4" w:rsidRPr="00AB34B4">
          <w:pgSz w:w="12240" w:h="15840"/>
          <w:pgMar w:top="1417" w:right="1417" w:bottom="1417" w:left="1417" w:header="720" w:footer="720" w:gutter="0"/>
          <w:cols w:space="720"/>
        </w:sectPr>
      </w:pP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lastRenderedPageBreak/>
        <w:t xml:space="preserve">La garantie des soins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xml:space="preserve">(Code de déontologie – Titre </w:t>
      </w:r>
      <w:proofErr w:type="gramStart"/>
      <w:r w:rsidRPr="00AB34B4">
        <w:rPr>
          <w:rFonts w:ascii="Franklin Gothic Book" w:eastAsia="Times New Roman" w:hAnsi="Franklin Gothic Book" w:cs="Times New Roman"/>
          <w:lang w:eastAsia="fr-FR"/>
        </w:rPr>
        <w:t>II )</w:t>
      </w:r>
      <w:proofErr w:type="gramEnd"/>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La sécurité des personnes qui ont recours l’ostéopathie, s’appuie sur le droit de la personne et notamment ceux introduits par la loi du 4 mars 2002. On peut citer les articles du code de la santé publique suivants (première partie, live I, titre I)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tabs>
          <w:tab w:val="num" w:pos="1140"/>
        </w:tabs>
        <w:spacing w:after="0" w:line="240" w:lineRule="auto"/>
        <w:ind w:left="114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L’article L 1110-1 : « </w:t>
      </w:r>
      <w:r w:rsidRPr="00AB34B4">
        <w:rPr>
          <w:rFonts w:ascii="Franklin Gothic Book" w:eastAsia="Times New Roman" w:hAnsi="Franklin Gothic Book" w:cs="Times New Roman"/>
          <w:i/>
          <w:lang w:eastAsia="fr-FR"/>
        </w:rPr>
        <w:t>le droit fondamental à la protection de la santé doit être mis en œuvre par tous moyens disponibles au bénéfice de toute personne »</w:t>
      </w:r>
    </w:p>
    <w:p w:rsidR="00AB34B4" w:rsidRPr="00AB34B4" w:rsidRDefault="00AB34B4" w:rsidP="00AB34B4">
      <w:pPr>
        <w:tabs>
          <w:tab w:val="num" w:pos="1140"/>
        </w:tabs>
        <w:spacing w:after="0" w:line="240" w:lineRule="auto"/>
        <w:ind w:left="114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L’article L 1110-4 : </w:t>
      </w:r>
      <w:r w:rsidRPr="00AB34B4">
        <w:rPr>
          <w:rFonts w:ascii="Franklin Gothic Book" w:eastAsia="Times New Roman" w:hAnsi="Franklin Gothic Book" w:cs="Times New Roman"/>
          <w:i/>
          <w:lang w:eastAsia="fr-FR"/>
        </w:rPr>
        <w:t>« toute personne prise en charge par un professionnel, un établissement, un réseau de santé ou tout autre organisme participant à la prévention et aux soins a droit au respect de sa vie privée et du secret des informations la concernant. […]Il s’impose à tout professionnel de santé, ainsi qu’à tous les professionnels intervenant dans le système de santé. »</w:t>
      </w:r>
      <w:r w:rsidRPr="00AB34B4">
        <w:rPr>
          <w:rFonts w:ascii="Franklin Gothic Book" w:eastAsia="Times New Roman" w:hAnsi="Franklin Gothic Book" w:cs="Times New Roman"/>
          <w:lang w:eastAsia="fr-FR"/>
        </w:rPr>
        <w:t xml:space="preserve">  </w:t>
      </w:r>
    </w:p>
    <w:p w:rsidR="00AB34B4" w:rsidRPr="00AB34B4" w:rsidRDefault="00AB34B4" w:rsidP="00AB34B4">
      <w:pPr>
        <w:tabs>
          <w:tab w:val="num" w:pos="1140"/>
        </w:tabs>
        <w:spacing w:after="0" w:line="240" w:lineRule="auto"/>
        <w:ind w:left="114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L’article L 1110-5 : </w:t>
      </w:r>
      <w:r w:rsidRPr="00AB34B4">
        <w:rPr>
          <w:rFonts w:ascii="Franklin Gothic Book" w:eastAsia="Times New Roman" w:hAnsi="Franklin Gothic Book" w:cs="Times New Roman"/>
          <w:i/>
          <w:lang w:eastAsia="fr-FR"/>
        </w:rPr>
        <w:t>« toute personne a, compte tenu de son état de santé et de l’urgence des interventions que celui-ci requiert, le droit de recevoir les soins les plus appropriés et de bénéficier des thérapeutiques dont l’efficacité est reconnue et qui garantissent la meilleure sécurité sanitaire au regard des connaissances médicales avérées. Les actes de prévention, d’investigations ou de soins ne doivent pas, en l’état des connaissances médicales, lui faire courir de risques disproportionnés par rapport au bénéfice escompté.</w:t>
      </w:r>
    </w:p>
    <w:p w:rsidR="00AB34B4" w:rsidRPr="00AB34B4" w:rsidRDefault="00AB34B4" w:rsidP="00AB34B4">
      <w:pPr>
        <w:tabs>
          <w:tab w:val="num" w:pos="1140"/>
        </w:tabs>
        <w:spacing w:after="0" w:line="240" w:lineRule="auto"/>
        <w:ind w:left="114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L’article L 110-8 : </w:t>
      </w:r>
      <w:r w:rsidRPr="00AB34B4">
        <w:rPr>
          <w:rFonts w:ascii="Franklin Gothic Book" w:eastAsia="Times New Roman" w:hAnsi="Franklin Gothic Book" w:cs="Times New Roman"/>
          <w:i/>
          <w:lang w:eastAsia="fr-FR"/>
        </w:rPr>
        <w:t>« le droit du malade au libre choix de son praticien et de son établissement de santé est un principe fondamental de la législation sanitaire »</w:t>
      </w:r>
    </w:p>
    <w:p w:rsidR="00AB34B4" w:rsidRPr="00AB34B4" w:rsidRDefault="00AB34B4" w:rsidP="00AB34B4">
      <w:pPr>
        <w:tabs>
          <w:tab w:val="num" w:pos="1140"/>
        </w:tabs>
        <w:spacing w:after="0" w:line="240" w:lineRule="auto"/>
        <w:ind w:left="114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L’article L 1111-1 : </w:t>
      </w:r>
      <w:r w:rsidRPr="00AB34B4">
        <w:rPr>
          <w:rFonts w:ascii="Franklin Gothic Book" w:eastAsia="Times New Roman" w:hAnsi="Franklin Gothic Book" w:cs="Times New Roman"/>
          <w:i/>
          <w:lang w:eastAsia="fr-FR"/>
        </w:rPr>
        <w:t>« les droits reconnus aux usagers s’accompagnent des responsabilités de nature à garantir la pérennité du système de santé et des principes sur lesquels il repose. »</w:t>
      </w:r>
    </w:p>
    <w:p w:rsidR="00AB34B4" w:rsidRPr="00AB34B4" w:rsidRDefault="00AB34B4" w:rsidP="00AB34B4">
      <w:pPr>
        <w:tabs>
          <w:tab w:val="num" w:pos="1140"/>
        </w:tabs>
        <w:spacing w:after="0" w:line="240" w:lineRule="auto"/>
        <w:ind w:left="114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 xml:space="preserve">L’article L 1111-3 : […] </w:t>
      </w:r>
      <w:r w:rsidRPr="00AB34B4">
        <w:rPr>
          <w:rFonts w:ascii="Franklin Gothic Book" w:eastAsia="Times New Roman" w:hAnsi="Franklin Gothic Book" w:cs="Times New Roman"/>
          <w:i/>
          <w:lang w:eastAsia="fr-FR"/>
        </w:rPr>
        <w:t>les professionnels de santé d’exercice libéral doivent, avant l’exécution d’un acte, informer le patient de son coût et des conditions de son remboursement par les régimes obligatoires d’assurance maladie.</w:t>
      </w:r>
    </w:p>
    <w:p w:rsidR="00AB34B4" w:rsidRPr="00AB34B4" w:rsidRDefault="00AB34B4" w:rsidP="00AB34B4">
      <w:pPr>
        <w:tabs>
          <w:tab w:val="num" w:pos="1140"/>
        </w:tabs>
        <w:spacing w:after="0" w:line="240" w:lineRule="auto"/>
        <w:ind w:left="1140" w:hanging="360"/>
        <w:jc w:val="both"/>
        <w:rPr>
          <w:rFonts w:ascii="Times New Roman" w:eastAsia="Times New Roman" w:hAnsi="Times New Roman" w:cs="Times New Roman"/>
          <w:sz w:val="24"/>
          <w:szCs w:val="24"/>
          <w:lang w:eastAsia="fr-FR"/>
        </w:rPr>
      </w:pPr>
      <w:r w:rsidRPr="00AB34B4">
        <w:rPr>
          <w:rFonts w:ascii="Symbol" w:eastAsia="Symbol" w:hAnsi="Symbol" w:cs="Symbol"/>
          <w:lang w:eastAsia="fr-FR"/>
        </w:rPr>
        <w:t></w:t>
      </w:r>
      <w:r w:rsidRPr="00AB34B4">
        <w:rPr>
          <w:rFonts w:ascii="Times New Roman" w:eastAsia="Symbol" w:hAnsi="Times New Roman" w:cs="Times New Roman"/>
          <w:sz w:val="14"/>
          <w:szCs w:val="14"/>
          <w:lang w:eastAsia="fr-FR"/>
        </w:rPr>
        <w:t xml:space="preserve">         </w:t>
      </w:r>
      <w:r w:rsidRPr="00AB34B4">
        <w:rPr>
          <w:rFonts w:ascii="Franklin Gothic Book" w:eastAsia="Times New Roman" w:hAnsi="Franklin Gothic Book" w:cs="Times New Roman"/>
          <w:lang w:eastAsia="fr-FR"/>
        </w:rPr>
        <w:t>L’article L 1111-4 : […]</w:t>
      </w:r>
      <w:r w:rsidRPr="00AB34B4">
        <w:rPr>
          <w:rFonts w:ascii="Franklin Gothic Book" w:eastAsia="Times New Roman" w:hAnsi="Franklin Gothic Book" w:cs="Times New Roman"/>
          <w:i/>
          <w:lang w:eastAsia="fr-FR"/>
        </w:rPr>
        <w:t xml:space="preserve"> aucun acte médical ni aucun traitement ne peut être pratiqué sans le consentement libre et éclairé de la personne et ce consentement peut être retiré à tout moment.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xml:space="preserve">Puisque l’article 75 de la loi du 4 mars 2002 n’indique pas explicitement que l’ostéopathie est une profession de santé, elle n’est pas régie par le code de la santé publique.  Elle ne bénéficie pas actuellement d’une liste de bonnes pratiques élaborées et validées par la Haute autorité de santé. L’ostéopathe continue d’être considéré comme un professionnel délivrant un « produit » de soin. Il convient donc de délivrer ce « produit de soin » dans l’intérêt de la santé publique et d’apporter une réponse aux questions « qui peut s’adresser à un ostéopathe ?», « pour quels motifs ? ». </w:t>
      </w:r>
    </w:p>
    <w:p w:rsidR="00AB34B4" w:rsidRPr="00AB34B4" w:rsidRDefault="00AB34B4" w:rsidP="00AB34B4">
      <w:pPr>
        <w:spacing w:after="0" w:line="240" w:lineRule="auto"/>
        <w:ind w:firstLine="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bCs/>
          <w:lang w:eastAsia="fr-FR"/>
        </w:rPr>
        <w:t>Qui peut s’adresser à un ostéopathe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b/>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xml:space="preserve">L’ostéopathie s’adresse aux enfants, aux adultes, à la femme enceinte et aux personnes âgées. Cette classification est justifiée par la différence chez ces personnes, dans leur anatomie, dans leur physiologie, dans la qualité de leurs tissus et dans les contraintes auxquelles elles doivent s’adapter.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bCs/>
          <w:lang w:eastAsia="fr-FR"/>
        </w:rPr>
        <w:t>Pour quels motifs peut-on s’adresser à un ostéopathe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xml:space="preserve">D’un point de vue théorique, l’indication thérapeutique ostéopathique est la dysfonction somatique qui apparaît lorsque les capacités d’adaptation de l’organisme aux contraintes de la vie sont perturbées ou dépassées. Cette définition ne permet pas malheureusement à un patient de se déterminer quant au bénéfice que pourrait lui apporter l’ostéopathie pour sa santé.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lastRenderedPageBreak/>
        <w:t xml:space="preserve">La démarche qui conduit une personne à consulter un ostéopathe est en premier lieu la souffrance. La colonne vertébrale et les souffrances qu’elle génère, représentent la première cause de consultation en ostéopathie. Le champ d’application de l’ostéopathie s’étend à d’autres troubles fonctionnels qu’une souffrance ou une douleur. On peut définir ceux-ci d’une manière très générale comme une perte ou une moins bonne capacité de l’organisme à effectuer certaines fonctions.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L’ostéopathie est susceptible de soulager la plupart des manifestations liées à des troubles fonctionnels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widowControl w:val="0"/>
        <w:numPr>
          <w:ilvl w:val="0"/>
          <w:numId w:val="9"/>
        </w:numPr>
        <w:adjustRightInd w:val="0"/>
        <w:spacing w:after="0" w:line="360" w:lineRule="auto"/>
        <w:jc w:val="both"/>
        <w:rPr>
          <w:rFonts w:ascii="Verdana" w:eastAsia="Times New Roman" w:hAnsi="Verdana" w:cs="Times New Roman"/>
          <w:sz w:val="17"/>
          <w:szCs w:val="17"/>
          <w:lang w:eastAsia="fr-FR"/>
        </w:rPr>
      </w:pPr>
      <w:r w:rsidRPr="00AB34B4">
        <w:rPr>
          <w:rFonts w:ascii="Franklin Gothic Demi" w:eastAsia="Times New Roman" w:hAnsi="Franklin Gothic Demi" w:cs="Times New Roman"/>
          <w:lang w:eastAsia="fr-FR"/>
        </w:rPr>
        <w:t>De l’appareil locomoteur</w:t>
      </w:r>
      <w:r w:rsidRPr="00AB34B4">
        <w:rPr>
          <w:rFonts w:ascii="Franklin Gothic Book" w:eastAsia="Times New Roman" w:hAnsi="Franklin Gothic Book" w:cs="Times New Roman"/>
          <w:lang w:eastAsia="fr-FR"/>
        </w:rPr>
        <w:t xml:space="preserve"> : cervicalgies, torticolis, dorsalgies, douleurs intercostales, lumbago, névralgies, entorses, accidents musculaires, tendinites, conséquences des coups du lapin, maux de tête d’origine mécanique. </w:t>
      </w:r>
    </w:p>
    <w:p w:rsidR="00AB34B4" w:rsidRPr="00AB34B4" w:rsidRDefault="00AB34B4" w:rsidP="00AB34B4">
      <w:pPr>
        <w:widowControl w:val="0"/>
        <w:numPr>
          <w:ilvl w:val="0"/>
          <w:numId w:val="9"/>
        </w:numPr>
        <w:adjustRightInd w:val="0"/>
        <w:spacing w:after="0" w:line="360" w:lineRule="auto"/>
        <w:jc w:val="both"/>
        <w:rPr>
          <w:rFonts w:ascii="Verdana" w:eastAsia="Times New Roman" w:hAnsi="Verdana" w:cs="Times New Roman"/>
          <w:sz w:val="17"/>
          <w:szCs w:val="17"/>
          <w:lang w:eastAsia="fr-FR"/>
        </w:rPr>
      </w:pPr>
      <w:r w:rsidRPr="00AB34B4">
        <w:rPr>
          <w:rFonts w:ascii="Franklin Gothic Demi" w:eastAsia="Times New Roman" w:hAnsi="Franklin Gothic Demi" w:cs="Times New Roman"/>
          <w:lang w:eastAsia="fr-FR"/>
        </w:rPr>
        <w:t>Du système neurovégétatif</w:t>
      </w:r>
      <w:r w:rsidRPr="00AB34B4">
        <w:rPr>
          <w:rFonts w:ascii="Franklin Gothic Book" w:eastAsia="Times New Roman" w:hAnsi="Franklin Gothic Book" w:cs="Times New Roman"/>
          <w:lang w:eastAsia="fr-FR"/>
        </w:rPr>
        <w:t xml:space="preserve"> : dystonie neurovégétative.</w:t>
      </w:r>
      <w:r w:rsidRPr="00AB34B4">
        <w:rPr>
          <w:rFonts w:ascii="Verdana" w:eastAsia="Times New Roman" w:hAnsi="Verdana" w:cs="Times New Roman"/>
          <w:sz w:val="17"/>
          <w:szCs w:val="17"/>
          <w:lang w:eastAsia="fr-FR"/>
        </w:rPr>
        <w:t xml:space="preserve"> </w:t>
      </w:r>
    </w:p>
    <w:p w:rsidR="00AB34B4" w:rsidRPr="00AB34B4" w:rsidRDefault="00AB34B4" w:rsidP="00AB34B4">
      <w:pPr>
        <w:widowControl w:val="0"/>
        <w:numPr>
          <w:ilvl w:val="0"/>
          <w:numId w:val="9"/>
        </w:numPr>
        <w:adjustRightInd w:val="0"/>
        <w:spacing w:after="0" w:line="360" w:lineRule="auto"/>
        <w:jc w:val="both"/>
        <w:rPr>
          <w:rFonts w:ascii="Verdana" w:eastAsia="Times New Roman" w:hAnsi="Verdana" w:cs="Times New Roman"/>
          <w:sz w:val="17"/>
          <w:szCs w:val="17"/>
          <w:lang w:eastAsia="fr-FR"/>
        </w:rPr>
      </w:pPr>
      <w:r w:rsidRPr="00AB34B4">
        <w:rPr>
          <w:rFonts w:ascii="Franklin Gothic Demi" w:eastAsia="Times New Roman" w:hAnsi="Franklin Gothic Demi" w:cs="Times New Roman"/>
          <w:lang w:eastAsia="fr-FR"/>
        </w:rPr>
        <w:t>Du système digestif</w:t>
      </w:r>
      <w:r w:rsidRPr="00AB34B4">
        <w:rPr>
          <w:rFonts w:ascii="Franklin Gothic Book" w:eastAsia="Times New Roman" w:hAnsi="Franklin Gothic Book" w:cs="Times New Roman"/>
          <w:lang w:eastAsia="fr-FR"/>
        </w:rPr>
        <w:t xml:space="preserve"> : dysphagie, gastralgie, reflux </w:t>
      </w:r>
      <w:proofErr w:type="spellStart"/>
      <w:r w:rsidRPr="00AB34B4">
        <w:rPr>
          <w:rFonts w:ascii="Franklin Gothic Book" w:eastAsia="Times New Roman" w:hAnsi="Franklin Gothic Book" w:cs="Times New Roman"/>
          <w:lang w:eastAsia="fr-FR"/>
        </w:rPr>
        <w:t>gastro</w:t>
      </w:r>
      <w:proofErr w:type="spellEnd"/>
      <w:r w:rsidRPr="00AB34B4">
        <w:rPr>
          <w:rFonts w:ascii="Franklin Gothic Book" w:eastAsia="Times New Roman" w:hAnsi="Franklin Gothic Book" w:cs="Times New Roman"/>
          <w:lang w:eastAsia="fr-FR"/>
        </w:rPr>
        <w:t>-</w:t>
      </w:r>
      <w:proofErr w:type="spellStart"/>
      <w:r w:rsidRPr="00AB34B4">
        <w:rPr>
          <w:rFonts w:ascii="Franklin Gothic Book" w:eastAsia="Times New Roman" w:hAnsi="Franklin Gothic Book" w:cs="Times New Roman"/>
          <w:lang w:eastAsia="fr-FR"/>
        </w:rPr>
        <w:t>oesophagien</w:t>
      </w:r>
      <w:proofErr w:type="spellEnd"/>
      <w:r w:rsidRPr="00AB34B4">
        <w:rPr>
          <w:rFonts w:ascii="Franklin Gothic Book" w:eastAsia="Times New Roman" w:hAnsi="Franklin Gothic Book" w:cs="Times New Roman"/>
          <w:lang w:eastAsia="fr-FR"/>
        </w:rPr>
        <w:t xml:space="preserve">, dyspepsies, </w:t>
      </w:r>
      <w:proofErr w:type="spellStart"/>
      <w:r w:rsidRPr="00AB34B4">
        <w:rPr>
          <w:rFonts w:ascii="Franklin Gothic Book" w:eastAsia="Times New Roman" w:hAnsi="Franklin Gothic Book" w:cs="Times New Roman"/>
          <w:lang w:eastAsia="fr-FR"/>
        </w:rPr>
        <w:t>dyspéristaltisme</w:t>
      </w:r>
      <w:proofErr w:type="spellEnd"/>
      <w:r w:rsidRPr="00AB34B4">
        <w:rPr>
          <w:rFonts w:ascii="Franklin Gothic Book" w:eastAsia="Times New Roman" w:hAnsi="Franklin Gothic Book" w:cs="Times New Roman"/>
          <w:lang w:eastAsia="fr-FR"/>
        </w:rPr>
        <w:t xml:space="preserve"> intestinal, régurgitations, nausées.</w:t>
      </w:r>
      <w:r w:rsidRPr="00AB34B4">
        <w:rPr>
          <w:rFonts w:ascii="Verdana" w:eastAsia="Times New Roman" w:hAnsi="Verdana" w:cs="Times New Roman"/>
          <w:sz w:val="17"/>
          <w:szCs w:val="17"/>
          <w:lang w:eastAsia="fr-FR"/>
        </w:rPr>
        <w:t xml:space="preserve"> </w:t>
      </w:r>
    </w:p>
    <w:p w:rsidR="00AB34B4" w:rsidRPr="00AB34B4" w:rsidRDefault="00AB34B4" w:rsidP="00AB34B4">
      <w:pPr>
        <w:widowControl w:val="0"/>
        <w:numPr>
          <w:ilvl w:val="0"/>
          <w:numId w:val="9"/>
        </w:numPr>
        <w:adjustRightInd w:val="0"/>
        <w:spacing w:after="0" w:line="360" w:lineRule="auto"/>
        <w:jc w:val="both"/>
        <w:rPr>
          <w:rFonts w:ascii="Verdana" w:eastAsia="Times New Roman" w:hAnsi="Verdana" w:cs="Times New Roman"/>
          <w:sz w:val="17"/>
          <w:szCs w:val="17"/>
          <w:lang w:eastAsia="fr-FR"/>
        </w:rPr>
      </w:pPr>
      <w:r w:rsidRPr="00AB34B4">
        <w:rPr>
          <w:rFonts w:ascii="Franklin Gothic Demi" w:eastAsia="Times New Roman" w:hAnsi="Franklin Gothic Demi" w:cs="Times New Roman"/>
          <w:lang w:eastAsia="fr-FR"/>
        </w:rPr>
        <w:t>Du système génito-urinaire</w:t>
      </w:r>
      <w:r w:rsidRPr="00AB34B4">
        <w:rPr>
          <w:rFonts w:ascii="Franklin Gothic Book" w:eastAsia="Times New Roman" w:hAnsi="Franklin Gothic Book" w:cs="Times New Roman"/>
          <w:lang w:eastAsia="fr-FR"/>
        </w:rPr>
        <w:t xml:space="preserve"> : dysménorrhées fonctionnelles, dyspareunies mécaniques, dysurie, prévention des infections urinaires.</w:t>
      </w:r>
      <w:r w:rsidRPr="00AB34B4">
        <w:rPr>
          <w:rFonts w:ascii="Verdana" w:eastAsia="Times New Roman" w:hAnsi="Verdana" w:cs="Times New Roman"/>
          <w:sz w:val="17"/>
          <w:szCs w:val="17"/>
          <w:lang w:eastAsia="fr-FR"/>
        </w:rPr>
        <w:t xml:space="preserve"> </w:t>
      </w:r>
    </w:p>
    <w:p w:rsidR="00AB34B4" w:rsidRPr="00AB34B4" w:rsidRDefault="00AB34B4" w:rsidP="00AB34B4">
      <w:pPr>
        <w:widowControl w:val="0"/>
        <w:numPr>
          <w:ilvl w:val="0"/>
          <w:numId w:val="9"/>
        </w:numPr>
        <w:adjustRightInd w:val="0"/>
        <w:spacing w:after="0" w:line="360" w:lineRule="auto"/>
        <w:jc w:val="both"/>
        <w:rPr>
          <w:rFonts w:ascii="Verdana" w:eastAsia="Times New Roman" w:hAnsi="Verdana" w:cs="Times New Roman"/>
          <w:sz w:val="17"/>
          <w:szCs w:val="17"/>
          <w:lang w:eastAsia="fr-FR"/>
        </w:rPr>
      </w:pPr>
      <w:r w:rsidRPr="00AB34B4">
        <w:rPr>
          <w:rFonts w:ascii="Franklin Gothic Demi" w:eastAsia="Times New Roman" w:hAnsi="Franklin Gothic Demi" w:cs="Times New Roman"/>
          <w:lang w:eastAsia="fr-FR"/>
        </w:rPr>
        <w:t xml:space="preserve">De la bouche et de la sphère ORL </w:t>
      </w:r>
      <w:r w:rsidRPr="00AB34B4">
        <w:rPr>
          <w:rFonts w:ascii="Franklin Gothic Book" w:eastAsia="Times New Roman" w:hAnsi="Franklin Gothic Book" w:cs="Times New Roman"/>
          <w:lang w:eastAsia="fr-FR"/>
        </w:rPr>
        <w:t>: dysphonie fonctionnelle, préventions des sinusites et otites répétitives, vertiges fonctionnels.</w:t>
      </w:r>
      <w:r w:rsidRPr="00AB34B4">
        <w:rPr>
          <w:rFonts w:ascii="Verdana" w:eastAsia="Times New Roman" w:hAnsi="Verdana" w:cs="Times New Roman"/>
          <w:sz w:val="17"/>
          <w:szCs w:val="17"/>
          <w:lang w:eastAsia="fr-FR"/>
        </w:rPr>
        <w:t xml:space="preserve"> </w:t>
      </w:r>
    </w:p>
    <w:p w:rsidR="00AB34B4" w:rsidRPr="00AB34B4" w:rsidRDefault="00AB34B4" w:rsidP="00AB34B4">
      <w:pPr>
        <w:widowControl w:val="0"/>
        <w:numPr>
          <w:ilvl w:val="0"/>
          <w:numId w:val="9"/>
        </w:numPr>
        <w:adjustRightInd w:val="0"/>
        <w:spacing w:after="0" w:line="360" w:lineRule="auto"/>
        <w:jc w:val="both"/>
        <w:rPr>
          <w:rFonts w:ascii="Verdana" w:eastAsia="Times New Roman" w:hAnsi="Verdana" w:cs="Times New Roman"/>
          <w:sz w:val="17"/>
          <w:szCs w:val="17"/>
          <w:lang w:eastAsia="fr-FR"/>
        </w:rPr>
      </w:pPr>
      <w:r w:rsidRPr="00AB34B4">
        <w:rPr>
          <w:rFonts w:ascii="Franklin Gothic Demi" w:eastAsia="Times New Roman" w:hAnsi="Franklin Gothic Demi" w:cs="Times New Roman"/>
          <w:lang w:eastAsia="fr-FR"/>
        </w:rPr>
        <w:t>Du système respiratoire</w:t>
      </w:r>
      <w:r w:rsidRPr="00AB34B4">
        <w:rPr>
          <w:rFonts w:ascii="Franklin Gothic Book" w:eastAsia="Times New Roman" w:hAnsi="Franklin Gothic Book" w:cs="Times New Roman"/>
          <w:lang w:eastAsia="fr-FR"/>
        </w:rPr>
        <w:t xml:space="preserve"> : </w:t>
      </w:r>
      <w:proofErr w:type="spellStart"/>
      <w:r w:rsidRPr="00AB34B4">
        <w:rPr>
          <w:rFonts w:ascii="Franklin Gothic Book" w:eastAsia="Times New Roman" w:hAnsi="Franklin Gothic Book" w:cs="Times New Roman"/>
          <w:lang w:eastAsia="fr-FR"/>
        </w:rPr>
        <w:t>dysphrénie</w:t>
      </w:r>
      <w:proofErr w:type="spellEnd"/>
      <w:r w:rsidRPr="00AB34B4">
        <w:rPr>
          <w:rFonts w:ascii="Franklin Gothic Book" w:eastAsia="Times New Roman" w:hAnsi="Franklin Gothic Book" w:cs="Times New Roman"/>
          <w:lang w:eastAsia="fr-FR"/>
        </w:rPr>
        <w:t xml:space="preserve"> fonctionnelle, prévention des bronchites répétitives.</w:t>
      </w:r>
      <w:r w:rsidRPr="00AB34B4">
        <w:rPr>
          <w:rFonts w:ascii="Verdana" w:eastAsia="Times New Roman" w:hAnsi="Verdana" w:cs="Times New Roman"/>
          <w:sz w:val="17"/>
          <w:szCs w:val="17"/>
          <w:lang w:eastAsia="fr-FR"/>
        </w:rPr>
        <w:t xml:space="preserve">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xml:space="preserve">Ainsi que les manifestations rencontrées par le bébé après la naissance : troubles du sommeil, agitation, régurgitations, coliques, </w:t>
      </w:r>
      <w:proofErr w:type="spellStart"/>
      <w:r w:rsidRPr="00AB34B4">
        <w:rPr>
          <w:rFonts w:ascii="Franklin Gothic Book" w:eastAsia="Times New Roman" w:hAnsi="Franklin Gothic Book" w:cs="Times New Roman"/>
          <w:lang w:eastAsia="fr-FR"/>
        </w:rPr>
        <w:t>plagiocéphalies</w:t>
      </w:r>
      <w:proofErr w:type="spellEnd"/>
      <w:r w:rsidRPr="00AB34B4">
        <w:rPr>
          <w:rFonts w:ascii="Franklin Gothic Book" w:eastAsia="Times New Roman" w:hAnsi="Franklin Gothic Book" w:cs="Times New Roman"/>
          <w:lang w:eastAsia="fr-FR"/>
        </w:rPr>
        <w:t xml:space="preserve">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widowControl w:val="0"/>
        <w:adjustRightInd w:val="0"/>
        <w:spacing w:after="0" w:line="360" w:lineRule="auto"/>
        <w:jc w:val="both"/>
        <w:rPr>
          <w:rFonts w:ascii="Times New Roman" w:eastAsia="Times New Roman" w:hAnsi="Times New Roman" w:cs="Times New Roman"/>
          <w:sz w:val="24"/>
          <w:szCs w:val="24"/>
          <w:lang w:eastAsia="fr-FR"/>
        </w:rPr>
      </w:pPr>
      <w:r w:rsidRPr="00AB34B4">
        <w:rPr>
          <w:rFonts w:ascii="Franklin Gothic Demi" w:eastAsia="Times New Roman" w:hAnsi="Franklin Gothic Demi" w:cs="Times New Roman"/>
          <w:lang w:eastAsia="fr-FR"/>
        </w:rPr>
        <w:t>L’ostéopathie est également susceptible d’apporter un bénéfice lors de :</w:t>
      </w:r>
    </w:p>
    <w:p w:rsidR="00AB34B4" w:rsidRPr="00AB34B4" w:rsidRDefault="00AB34B4" w:rsidP="00AB34B4">
      <w:pPr>
        <w:widowControl w:val="0"/>
        <w:numPr>
          <w:ilvl w:val="0"/>
          <w:numId w:val="10"/>
        </w:numPr>
        <w:adjustRightInd w:val="0"/>
        <w:spacing w:after="0" w:line="36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L’accompagnement de la grossesse et du post-partum.</w:t>
      </w:r>
      <w:r w:rsidRPr="00AB34B4">
        <w:rPr>
          <w:rFonts w:ascii="Verdana" w:eastAsia="Times New Roman" w:hAnsi="Verdana" w:cs="Times New Roman"/>
          <w:sz w:val="17"/>
          <w:szCs w:val="17"/>
          <w:lang w:eastAsia="fr-FR"/>
        </w:rPr>
        <w:t xml:space="preserve"> </w:t>
      </w:r>
    </w:p>
    <w:p w:rsidR="00AB34B4" w:rsidRPr="00AB34B4" w:rsidRDefault="00AB34B4" w:rsidP="00AB34B4">
      <w:pPr>
        <w:widowControl w:val="0"/>
        <w:numPr>
          <w:ilvl w:val="0"/>
          <w:numId w:val="10"/>
        </w:numPr>
        <w:adjustRightInd w:val="0"/>
        <w:spacing w:after="0" w:line="36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L’accompagnement des suites d’intervention chirurgicale notamment en cas de thoracotomie et laparotomie.</w:t>
      </w:r>
      <w:r w:rsidRPr="00AB34B4">
        <w:rPr>
          <w:rFonts w:ascii="Verdana" w:eastAsia="Times New Roman" w:hAnsi="Verdana" w:cs="Times New Roman"/>
          <w:sz w:val="17"/>
          <w:szCs w:val="17"/>
          <w:lang w:eastAsia="fr-FR"/>
        </w:rPr>
        <w:t xml:space="preserve"> </w:t>
      </w:r>
    </w:p>
    <w:p w:rsidR="00AB34B4" w:rsidRPr="00AB34B4" w:rsidRDefault="00AB34B4" w:rsidP="00AB34B4">
      <w:pPr>
        <w:widowControl w:val="0"/>
        <w:numPr>
          <w:ilvl w:val="0"/>
          <w:numId w:val="10"/>
        </w:numPr>
        <w:adjustRightInd w:val="0"/>
        <w:spacing w:after="0" w:line="36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 xml:space="preserve">L’accompagnement des traitements </w:t>
      </w:r>
      <w:proofErr w:type="spellStart"/>
      <w:r w:rsidRPr="00AB34B4">
        <w:rPr>
          <w:rFonts w:ascii="Franklin Gothic Book" w:eastAsia="Times New Roman" w:hAnsi="Franklin Gothic Book" w:cs="Times New Roman"/>
          <w:lang w:eastAsia="fr-FR"/>
        </w:rPr>
        <w:t>orthodontiques</w:t>
      </w:r>
      <w:proofErr w:type="spellEnd"/>
      <w:r w:rsidRPr="00AB34B4">
        <w:rPr>
          <w:rFonts w:ascii="Franklin Gothic Book" w:eastAsia="Times New Roman" w:hAnsi="Franklin Gothic Book" w:cs="Times New Roman"/>
          <w:lang w:eastAsia="fr-FR"/>
        </w:rPr>
        <w:t>.</w:t>
      </w:r>
      <w:r w:rsidRPr="00AB34B4">
        <w:rPr>
          <w:rFonts w:ascii="Verdana" w:eastAsia="Times New Roman" w:hAnsi="Verdana" w:cs="Times New Roman"/>
          <w:sz w:val="17"/>
          <w:szCs w:val="17"/>
          <w:lang w:eastAsia="fr-FR"/>
        </w:rPr>
        <w:t xml:space="preserve"> </w:t>
      </w:r>
    </w:p>
    <w:p w:rsidR="00AB34B4" w:rsidRPr="00AB34B4" w:rsidRDefault="00AB34B4" w:rsidP="00AB34B4">
      <w:pPr>
        <w:widowControl w:val="0"/>
        <w:numPr>
          <w:ilvl w:val="0"/>
          <w:numId w:val="10"/>
        </w:numPr>
        <w:adjustRightInd w:val="0"/>
        <w:spacing w:after="0" w:line="360" w:lineRule="auto"/>
        <w:jc w:val="both"/>
        <w:rPr>
          <w:rFonts w:ascii="Verdana" w:eastAsia="Times New Roman" w:hAnsi="Verdana" w:cs="Times New Roman"/>
          <w:sz w:val="17"/>
          <w:szCs w:val="17"/>
          <w:lang w:eastAsia="fr-FR"/>
        </w:rPr>
      </w:pPr>
      <w:r w:rsidRPr="00AB34B4">
        <w:rPr>
          <w:rFonts w:ascii="Franklin Gothic Book" w:eastAsia="Times New Roman" w:hAnsi="Franklin Gothic Book" w:cs="Times New Roman"/>
          <w:lang w:eastAsia="fr-FR"/>
        </w:rPr>
        <w:t>L’accompagnement des traitements des pathologies orthopédiques de l’enfance et de l’adolescence (pied bot, torticolis congénital, scoliose, cyphose…).</w:t>
      </w:r>
      <w:r w:rsidRPr="00AB34B4">
        <w:rPr>
          <w:rFonts w:ascii="Verdana" w:eastAsia="Times New Roman" w:hAnsi="Verdana" w:cs="Times New Roman"/>
          <w:sz w:val="17"/>
          <w:szCs w:val="17"/>
          <w:lang w:eastAsia="fr-FR"/>
        </w:rPr>
        <w:t xml:space="preserve">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xml:space="preserve">L’action est également préventive puisque l’installation des dysfonctionnements est parfois muette de tout symptôme. </w:t>
      </w:r>
    </w:p>
    <w:p w:rsidR="00AB34B4" w:rsidRPr="00AB34B4" w:rsidRDefault="00AB34B4" w:rsidP="00AB34B4">
      <w:pPr>
        <w:spacing w:after="0" w:line="240" w:lineRule="auto"/>
        <w:ind w:left="360"/>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 </w:t>
      </w:r>
    </w:p>
    <w:p w:rsidR="00AB34B4" w:rsidRPr="00AB34B4" w:rsidRDefault="00AB34B4" w:rsidP="00AB34B4">
      <w:pPr>
        <w:spacing w:after="0" w:line="240" w:lineRule="auto"/>
        <w:jc w:val="both"/>
        <w:rPr>
          <w:rFonts w:ascii="Times New Roman" w:eastAsia="Times New Roman" w:hAnsi="Times New Roman" w:cs="Times New Roman"/>
          <w:sz w:val="24"/>
          <w:szCs w:val="24"/>
          <w:lang w:eastAsia="fr-FR"/>
        </w:rPr>
      </w:pPr>
      <w:r w:rsidRPr="00AB34B4">
        <w:rPr>
          <w:rFonts w:ascii="Franklin Gothic Book" w:eastAsia="Times New Roman" w:hAnsi="Franklin Gothic Book" w:cs="Times New Roman"/>
          <w:lang w:eastAsia="fr-FR"/>
        </w:rPr>
        <w:t>Si les tissus sont lésés, l’ostéopathie intervient uniquement comme une thérapie complémentaire pour soulager les effets des lésions tissulaires.</w:t>
      </w:r>
    </w:p>
    <w:sectPr w:rsidR="00AB34B4" w:rsidRPr="00AB34B4" w:rsidSect="00A7690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Franklin Gothic Demi">
    <w:panose1 w:val="020B07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E17D4B"/>
    <w:multiLevelType w:val="multilevel"/>
    <w:tmpl w:val="E3DAD8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75463C"/>
    <w:multiLevelType w:val="multilevel"/>
    <w:tmpl w:val="3D2893DA"/>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nsid w:val="1441297D"/>
    <w:multiLevelType w:val="multilevel"/>
    <w:tmpl w:val="9A145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E5024B8"/>
    <w:multiLevelType w:val="multilevel"/>
    <w:tmpl w:val="DB365A1C"/>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nsid w:val="21725C6F"/>
    <w:multiLevelType w:val="multilevel"/>
    <w:tmpl w:val="B67ADFA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B086077"/>
    <w:multiLevelType w:val="multilevel"/>
    <w:tmpl w:val="146239D0"/>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nsid w:val="43AD7E32"/>
    <w:multiLevelType w:val="multilevel"/>
    <w:tmpl w:val="39D283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C4A4B2F"/>
    <w:multiLevelType w:val="multilevel"/>
    <w:tmpl w:val="422034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8EB49AF"/>
    <w:multiLevelType w:val="multilevel"/>
    <w:tmpl w:val="26B2F98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9">
    <w:nsid w:val="70750FB5"/>
    <w:multiLevelType w:val="multilevel"/>
    <w:tmpl w:val="9692F0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1"/>
  </w:num>
  <w:num w:numId="4">
    <w:abstractNumId w:val="5"/>
  </w:num>
  <w:num w:numId="5">
    <w:abstractNumId w:val="3"/>
  </w:num>
  <w:num w:numId="6">
    <w:abstractNumId w:val="4"/>
  </w:num>
  <w:num w:numId="7">
    <w:abstractNumId w:val="6"/>
  </w:num>
  <w:num w:numId="8">
    <w:abstractNumId w:val="7"/>
  </w:num>
  <w:num w:numId="9">
    <w:abstractNumId w:val="0"/>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B34B4"/>
    <w:rsid w:val="00A76904"/>
    <w:rsid w:val="00AB34B4"/>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90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AB34B4"/>
    <w:rPr>
      <w:b/>
      <w:bCs/>
    </w:rPr>
  </w:style>
  <w:style w:type="character" w:styleId="Accentuation">
    <w:name w:val="Emphasis"/>
    <w:basedOn w:val="Policepardfaut"/>
    <w:uiPriority w:val="20"/>
    <w:qFormat/>
    <w:rsid w:val="00AB34B4"/>
    <w:rPr>
      <w:i/>
      <w:iCs/>
    </w:rPr>
  </w:style>
</w:styles>
</file>

<file path=word/webSettings.xml><?xml version="1.0" encoding="utf-8"?>
<w:webSettings xmlns:r="http://schemas.openxmlformats.org/officeDocument/2006/relationships" xmlns:w="http://schemas.openxmlformats.org/wordprocessingml/2006/main">
  <w:divs>
    <w:div w:id="1663239920">
      <w:bodyDiv w:val="1"/>
      <w:marLeft w:val="0"/>
      <w:marRight w:val="0"/>
      <w:marTop w:val="0"/>
      <w:marBottom w:val="0"/>
      <w:divBdr>
        <w:top w:val="none" w:sz="0" w:space="0" w:color="auto"/>
        <w:left w:val="none" w:sz="0" w:space="0" w:color="auto"/>
        <w:bottom w:val="none" w:sz="0" w:space="0" w:color="auto"/>
        <w:right w:val="none" w:sz="0" w:space="0" w:color="auto"/>
      </w:divBdr>
      <w:divsChild>
        <w:div w:id="2093745032">
          <w:marLeft w:val="0"/>
          <w:marRight w:val="0"/>
          <w:marTop w:val="0"/>
          <w:marBottom w:val="0"/>
          <w:divBdr>
            <w:top w:val="none" w:sz="0" w:space="0" w:color="auto"/>
            <w:left w:val="none" w:sz="0" w:space="0" w:color="auto"/>
            <w:bottom w:val="none" w:sz="0" w:space="0" w:color="auto"/>
            <w:right w:val="none" w:sz="0" w:space="0" w:color="auto"/>
          </w:divBdr>
        </w:div>
        <w:div w:id="1196311731">
          <w:marLeft w:val="0"/>
          <w:marRight w:val="0"/>
          <w:marTop w:val="0"/>
          <w:marBottom w:val="0"/>
          <w:divBdr>
            <w:top w:val="none" w:sz="0" w:space="0" w:color="auto"/>
            <w:left w:val="none" w:sz="0" w:space="0" w:color="auto"/>
            <w:bottom w:val="none" w:sz="0" w:space="0" w:color="auto"/>
            <w:right w:val="none" w:sz="0" w:space="0" w:color="auto"/>
          </w:divBdr>
          <w:divsChild>
            <w:div w:id="79910459">
              <w:marLeft w:val="0"/>
              <w:marRight w:val="0"/>
              <w:marTop w:val="0"/>
              <w:marBottom w:val="0"/>
              <w:divBdr>
                <w:top w:val="none" w:sz="0" w:space="0" w:color="auto"/>
                <w:left w:val="none" w:sz="0" w:space="0" w:color="auto"/>
                <w:bottom w:val="none" w:sz="0" w:space="0" w:color="auto"/>
                <w:right w:val="none" w:sz="0" w:space="0" w:color="auto"/>
              </w:divBdr>
              <w:divsChild>
                <w:div w:id="1510484695">
                  <w:marLeft w:val="0"/>
                  <w:marRight w:val="0"/>
                  <w:marTop w:val="0"/>
                  <w:marBottom w:val="0"/>
                  <w:divBdr>
                    <w:top w:val="none" w:sz="0" w:space="0" w:color="auto"/>
                    <w:left w:val="none" w:sz="0" w:space="0" w:color="auto"/>
                    <w:bottom w:val="none" w:sz="0" w:space="0" w:color="auto"/>
                    <w:right w:val="none" w:sz="0" w:space="0" w:color="auto"/>
                  </w:divBdr>
                  <w:divsChild>
                    <w:div w:id="1854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1553">
          <w:marLeft w:val="0"/>
          <w:marRight w:val="0"/>
          <w:marTop w:val="0"/>
          <w:marBottom w:val="0"/>
          <w:divBdr>
            <w:top w:val="none" w:sz="0" w:space="0" w:color="auto"/>
            <w:left w:val="none" w:sz="0" w:space="0" w:color="auto"/>
            <w:bottom w:val="single" w:sz="6" w:space="8" w:color="336699"/>
            <w:right w:val="none" w:sz="0" w:space="0" w:color="auto"/>
          </w:divBdr>
          <w:divsChild>
            <w:div w:id="173304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1986</Words>
  <Characters>10927</Characters>
  <Application>Microsoft Office Word</Application>
  <DocSecurity>0</DocSecurity>
  <Lines>91</Lines>
  <Paragraphs>25</Paragraphs>
  <ScaleCrop>false</ScaleCrop>
  <Company/>
  <LinksUpToDate>false</LinksUpToDate>
  <CharactersWithSpaces>12888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Evelyne</dc:creator>
  <cp:keywords/>
  <dc:description/>
  <cp:lastModifiedBy>Evelyne</cp:lastModifiedBy>
  <cp:revision>1</cp:revision>
  <dcterms:created xsi:type="dcterms:W3CDTF">2009-09-24T19:41:00Z</dcterms:created>
  <dcterms:modified xsi:type="dcterms:W3CDTF">2009-09-24T19:41:00Z</dcterms:modified>
</cp:coreProperties>
</file>